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E8433E" w14:textId="266D5D3A" w:rsidR="003B4B75" w:rsidRPr="00444105" w:rsidRDefault="00610500" w:rsidP="003B4B75">
      <w:pPr>
        <w:spacing w:before="120" w:line="259" w:lineRule="auto"/>
        <w:jc w:val="right"/>
        <w:rPr>
          <w:rFonts w:asciiTheme="minorHAnsi" w:eastAsia="Calibri" w:hAnsiTheme="minorHAnsi" w:cstheme="minorHAnsi"/>
          <w:bCs/>
          <w:sz w:val="22"/>
        </w:rPr>
      </w:pPr>
      <w:r w:rsidRPr="00444105">
        <w:rPr>
          <w:rFonts w:asciiTheme="minorHAnsi" w:eastAsia="Calibri" w:hAnsiTheme="minorHAnsi" w:cstheme="minorHAnsi"/>
          <w:bCs/>
          <w:sz w:val="22"/>
        </w:rPr>
        <w:t xml:space="preserve">Príloha </w:t>
      </w:r>
      <w:r w:rsidR="009C1B0A" w:rsidRPr="00444105">
        <w:rPr>
          <w:rFonts w:asciiTheme="minorHAnsi" w:eastAsia="Calibri" w:hAnsiTheme="minorHAnsi" w:cstheme="minorHAnsi"/>
          <w:bCs/>
          <w:sz w:val="22"/>
        </w:rPr>
        <w:t>1</w:t>
      </w:r>
      <w:r w:rsidR="00357CAC">
        <w:rPr>
          <w:rFonts w:asciiTheme="minorHAnsi" w:eastAsia="Calibri" w:hAnsiTheme="minorHAnsi" w:cstheme="minorHAnsi"/>
          <w:bCs/>
          <w:sz w:val="22"/>
        </w:rPr>
        <w:t>1</w:t>
      </w:r>
      <w:r w:rsidR="001E198E" w:rsidRPr="00444105">
        <w:rPr>
          <w:rFonts w:asciiTheme="minorHAnsi" w:eastAsia="Calibri" w:hAnsiTheme="minorHAnsi" w:cstheme="minorHAnsi"/>
          <w:bCs/>
          <w:sz w:val="22"/>
        </w:rPr>
        <w:t xml:space="preserve"> </w:t>
      </w:r>
      <w:r w:rsidR="003B4B75" w:rsidRPr="00444105">
        <w:rPr>
          <w:rFonts w:asciiTheme="minorHAnsi" w:eastAsia="Calibri" w:hAnsiTheme="minorHAnsi" w:cstheme="minorHAnsi"/>
          <w:bCs/>
          <w:sz w:val="22"/>
        </w:rPr>
        <w:t>výzvy</w:t>
      </w:r>
    </w:p>
    <w:p w14:paraId="55A1ED1A" w14:textId="02C0EA46" w:rsidR="008E73CF" w:rsidRPr="00444105" w:rsidRDefault="008E73CF" w:rsidP="00E74D83">
      <w:pPr>
        <w:spacing w:before="120" w:line="259" w:lineRule="auto"/>
        <w:jc w:val="center"/>
        <w:rPr>
          <w:rFonts w:asciiTheme="minorHAnsi" w:eastAsia="Calibri" w:hAnsiTheme="minorHAnsi" w:cstheme="minorHAnsi"/>
          <w:b/>
          <w:sz w:val="28"/>
          <w:szCs w:val="28"/>
        </w:rPr>
      </w:pPr>
      <w:r w:rsidRPr="00444105">
        <w:rPr>
          <w:rFonts w:asciiTheme="minorHAnsi" w:hAnsiTheme="minorHAnsi" w:cstheme="minorHAnsi"/>
          <w:b/>
          <w:noProof/>
          <w:sz w:val="28"/>
          <w:szCs w:val="28"/>
          <w:lang w:eastAsia="sk-SK"/>
        </w:rPr>
        <mc:AlternateContent>
          <mc:Choice Requires="wps">
            <w:drawing>
              <wp:anchor distT="0" distB="0" distL="114300" distR="114300" simplePos="0" relativeHeight="251670528" behindDoc="0" locked="0" layoutInCell="1" allowOverlap="1" wp14:anchorId="61D79876" wp14:editId="2700C32E">
                <wp:simplePos x="0" y="0"/>
                <wp:positionH relativeFrom="page">
                  <wp:posOffset>795020</wp:posOffset>
                </wp:positionH>
                <wp:positionV relativeFrom="page">
                  <wp:posOffset>8877300</wp:posOffset>
                </wp:positionV>
                <wp:extent cx="3490595" cy="505460"/>
                <wp:effectExtent l="0" t="0" r="14605" b="889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0595" cy="50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8E1F8" w14:textId="77777777" w:rsidR="008E73CF" w:rsidRPr="00590D0C" w:rsidRDefault="008E73CF" w:rsidP="008E73CF">
                            <w:pPr>
                              <w:rPr>
                                <w:b/>
                                <w:color w:val="002776"/>
                              </w:rPr>
                            </w:pPr>
                          </w:p>
                          <w:p w14:paraId="1B11AF07" w14:textId="77777777" w:rsidR="008E73CF" w:rsidRPr="00751B6D" w:rsidRDefault="008E73CF" w:rsidP="008E73C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D79876" id="_x0000_t202" coordsize="21600,21600" o:spt="202" path="m,l,21600r21600,l21600,xe">
                <v:stroke joinstyle="miter"/>
                <v:path gradientshapeok="t" o:connecttype="rect"/>
              </v:shapetype>
              <v:shape id="Text Box 6" o:spid="_x0000_s1026" type="#_x0000_t202" style="position:absolute;left:0;text-align:left;margin-left:62.6pt;margin-top:699pt;width:274.85pt;height:39.8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" filled="f" stroked="f">
                <v:textbox inset="0,0,0,0">
                  <w:txbxContent>
                    <w:p w14:paraId="2448E1F8" w14:textId="77777777" w:rsidR="008E73CF" w:rsidRPr="00590D0C" w:rsidRDefault="008E73CF" w:rsidP="008E73CF">
                      <w:pPr>
                        <w:rPr>
                          <w:b/>
                          <w:color w:val="002776"/>
                        </w:rPr>
                      </w:pPr>
                    </w:p>
                    <w:p w14:paraId="1B11AF07" w14:textId="77777777" w:rsidR="008E73CF" w:rsidRPr="00751B6D" w:rsidRDefault="008E73CF" w:rsidP="008E73CF"/>
                  </w:txbxContent>
                </v:textbox>
                <w10:wrap anchorx="page" anchory="page"/>
              </v:shape>
            </w:pict>
          </mc:Fallback>
        </mc:AlternateContent>
      </w:r>
      <w:r w:rsidR="004E5A39" w:rsidRPr="00444105">
        <w:rPr>
          <w:rFonts w:asciiTheme="minorHAnsi" w:eastAsia="Calibri" w:hAnsiTheme="minorHAnsi" w:cstheme="minorHAnsi"/>
          <w:b/>
          <w:sz w:val="28"/>
          <w:szCs w:val="28"/>
        </w:rPr>
        <w:t>Pravidlá pre doplnkové využitie infraštruktúry</w:t>
      </w:r>
    </w:p>
    <w:p w14:paraId="4011D8F6" w14:textId="77777777" w:rsidR="008E73CF" w:rsidRPr="00E74D83" w:rsidRDefault="008E73CF" w:rsidP="00E74D83">
      <w:pPr>
        <w:spacing w:before="120" w:line="259" w:lineRule="auto"/>
        <w:rPr>
          <w:rFonts w:asciiTheme="minorHAnsi" w:hAnsiTheme="minorHAnsi" w:cstheme="minorHAnsi"/>
          <w:sz w:val="22"/>
        </w:rPr>
      </w:pPr>
    </w:p>
    <w:sdt>
      <w:sdtPr>
        <w:rPr>
          <w:rFonts w:asciiTheme="minorHAnsi" w:hAnsiTheme="minorHAnsi" w:cstheme="minorHAnsi"/>
          <w:sz w:val="22"/>
        </w:rPr>
        <w:id w:val="-1895043205"/>
        <w:docPartObj>
          <w:docPartGallery w:val="Table of Contents"/>
          <w:docPartUnique/>
        </w:docPartObj>
      </w:sdtPr>
      <w:sdtEndPr>
        <w:rPr>
          <w:b/>
          <w:bCs/>
          <w:noProof/>
        </w:rPr>
      </w:sdtEndPr>
      <w:sdtContent>
        <w:p w14:paraId="07BD1908" w14:textId="11023EA8" w:rsidR="008E73CF" w:rsidRPr="00E74D83" w:rsidRDefault="008E73CF" w:rsidP="00E74D83">
          <w:pPr>
            <w:spacing w:before="120" w:line="259" w:lineRule="auto"/>
            <w:rPr>
              <w:rFonts w:asciiTheme="minorHAnsi" w:hAnsiTheme="minorHAnsi" w:cstheme="minorHAnsi"/>
              <w:sz w:val="22"/>
            </w:rPr>
          </w:pPr>
        </w:p>
        <w:p w14:paraId="7C75FC34" w14:textId="77777777" w:rsidR="008E73CF" w:rsidRPr="00E74D83" w:rsidRDefault="008E73CF" w:rsidP="00E74D83">
          <w:pPr>
            <w:pStyle w:val="Sectiontitle"/>
            <w:spacing w:before="120" w:after="120" w:line="259" w:lineRule="auto"/>
            <w:rPr>
              <w:rFonts w:asciiTheme="minorHAnsi" w:hAnsiTheme="minorHAnsi" w:cstheme="minorHAnsi"/>
              <w:sz w:val="22"/>
              <w:szCs w:val="22"/>
            </w:rPr>
          </w:pPr>
          <w:bookmarkStart w:id="0" w:name="_Toc469493476"/>
          <w:bookmarkStart w:id="1" w:name="_Toc173163820"/>
          <w:r w:rsidRPr="00E74D83">
            <w:rPr>
              <w:rFonts w:asciiTheme="minorHAnsi" w:hAnsiTheme="minorHAnsi" w:cstheme="minorHAnsi"/>
              <w:sz w:val="22"/>
              <w:szCs w:val="22"/>
            </w:rPr>
            <w:t>Obsah</w:t>
          </w:r>
          <w:bookmarkEnd w:id="0"/>
          <w:bookmarkEnd w:id="1"/>
        </w:p>
        <w:p w14:paraId="0D45A621" w14:textId="4930924B" w:rsidR="00B60561" w:rsidRDefault="008E73CF">
          <w:pPr>
            <w:pStyle w:val="Obsah1"/>
            <w:rPr>
              <w:rFonts w:asciiTheme="minorHAnsi" w:hAnsiTheme="minorHAnsi" w:cstheme="minorBidi"/>
              <w:kern w:val="2"/>
              <w:sz w:val="24"/>
              <w:szCs w:val="24"/>
              <w:lang w:eastAsia="sk-SK"/>
              <w14:ligatures w14:val="standardContextual"/>
            </w:rPr>
          </w:pPr>
          <w:r w:rsidRPr="00E74D83">
            <w:rPr>
              <w:rFonts w:asciiTheme="minorHAnsi" w:eastAsiaTheme="majorEastAsia" w:hAnsiTheme="minorHAnsi" w:cstheme="minorHAnsi"/>
              <w:noProof w:val="0"/>
              <w:color w:val="2E74B5" w:themeColor="accent1" w:themeShade="BF"/>
              <w:sz w:val="22"/>
              <w:szCs w:val="22"/>
            </w:rPr>
            <w:fldChar w:fldCharType="begin"/>
          </w:r>
          <w:r w:rsidRPr="00E74D83">
            <w:rPr>
              <w:rFonts w:asciiTheme="minorHAnsi" w:hAnsiTheme="minorHAnsi" w:cstheme="minorHAnsi"/>
              <w:sz w:val="22"/>
              <w:szCs w:val="22"/>
            </w:rPr>
            <w:instrText xml:space="preserve"> TOC \o "1-3" \h \z \u </w:instrText>
          </w:r>
          <w:r w:rsidRPr="00E74D83">
            <w:rPr>
              <w:rFonts w:asciiTheme="minorHAnsi" w:eastAsiaTheme="majorEastAsia" w:hAnsiTheme="minorHAnsi" w:cstheme="minorHAnsi"/>
              <w:noProof w:val="0"/>
              <w:color w:val="2E74B5" w:themeColor="accent1" w:themeShade="BF"/>
              <w:sz w:val="22"/>
              <w:szCs w:val="22"/>
            </w:rPr>
            <w:fldChar w:fldCharType="separate"/>
          </w:r>
          <w:hyperlink w:anchor="_Toc173163820" w:history="1">
            <w:r w:rsidR="00B60561" w:rsidRPr="00D67C1D">
              <w:rPr>
                <w:rStyle w:val="Hypertextovprepojenie"/>
                <w:rFonts w:cstheme="minorHAnsi"/>
              </w:rPr>
              <w:t>Obsah</w:t>
            </w:r>
            <w:r w:rsidR="00B60561">
              <w:rPr>
                <w:webHidden/>
              </w:rPr>
              <w:tab/>
            </w:r>
            <w:r w:rsidR="00B60561">
              <w:rPr>
                <w:webHidden/>
              </w:rPr>
              <w:fldChar w:fldCharType="begin"/>
            </w:r>
            <w:r w:rsidR="00B60561">
              <w:rPr>
                <w:webHidden/>
              </w:rPr>
              <w:instrText xml:space="preserve"> PAGEREF _Toc173163820 \h </w:instrText>
            </w:r>
            <w:r w:rsidR="00B60561">
              <w:rPr>
                <w:webHidden/>
              </w:rPr>
            </w:r>
            <w:r w:rsidR="00B60561">
              <w:rPr>
                <w:webHidden/>
              </w:rPr>
              <w:fldChar w:fldCharType="separate"/>
            </w:r>
            <w:r w:rsidR="00B60561">
              <w:rPr>
                <w:webHidden/>
              </w:rPr>
              <w:t>1</w:t>
            </w:r>
            <w:r w:rsidR="00B60561">
              <w:rPr>
                <w:webHidden/>
              </w:rPr>
              <w:fldChar w:fldCharType="end"/>
            </w:r>
          </w:hyperlink>
        </w:p>
        <w:p w14:paraId="4402FE7B" w14:textId="68617CAC" w:rsidR="00B60561" w:rsidRDefault="00357CAC">
          <w:pPr>
            <w:pStyle w:val="Obsah1"/>
            <w:rPr>
              <w:rFonts w:asciiTheme="minorHAnsi" w:hAnsiTheme="minorHAnsi" w:cstheme="minorBidi"/>
              <w:kern w:val="2"/>
              <w:sz w:val="24"/>
              <w:szCs w:val="24"/>
              <w:lang w:eastAsia="sk-SK"/>
              <w14:ligatures w14:val="standardContextual"/>
            </w:rPr>
          </w:pPr>
          <w:hyperlink w:anchor="_Toc173163821" w:history="1">
            <w:r w:rsidR="00B60561" w:rsidRPr="00D67C1D">
              <w:rPr>
                <w:rStyle w:val="Hypertextovprepojenie"/>
              </w:rPr>
              <w:t>1.</w:t>
            </w:r>
            <w:r w:rsidR="00B60561">
              <w:rPr>
                <w:rFonts w:asciiTheme="minorHAnsi" w:hAnsiTheme="minorHAnsi" w:cstheme="minorBidi"/>
                <w:kern w:val="2"/>
                <w:sz w:val="24"/>
                <w:szCs w:val="24"/>
                <w:lang w:eastAsia="sk-SK"/>
                <w14:ligatures w14:val="standardContextual"/>
              </w:rPr>
              <w:tab/>
            </w:r>
            <w:r w:rsidR="00B60561" w:rsidRPr="00D67C1D">
              <w:rPr>
                <w:rStyle w:val="Hypertextovprepojenie"/>
              </w:rPr>
              <w:t>Skratky a definície</w:t>
            </w:r>
            <w:r w:rsidR="00B60561">
              <w:rPr>
                <w:webHidden/>
              </w:rPr>
              <w:tab/>
            </w:r>
            <w:r w:rsidR="00B60561">
              <w:rPr>
                <w:webHidden/>
              </w:rPr>
              <w:fldChar w:fldCharType="begin"/>
            </w:r>
            <w:r w:rsidR="00B60561">
              <w:rPr>
                <w:webHidden/>
              </w:rPr>
              <w:instrText xml:space="preserve"> PAGEREF _Toc173163821 \h </w:instrText>
            </w:r>
            <w:r w:rsidR="00B60561">
              <w:rPr>
                <w:webHidden/>
              </w:rPr>
            </w:r>
            <w:r w:rsidR="00B60561">
              <w:rPr>
                <w:webHidden/>
              </w:rPr>
              <w:fldChar w:fldCharType="separate"/>
            </w:r>
            <w:r w:rsidR="00B60561">
              <w:rPr>
                <w:webHidden/>
              </w:rPr>
              <w:t>2</w:t>
            </w:r>
            <w:r w:rsidR="00B60561">
              <w:rPr>
                <w:webHidden/>
              </w:rPr>
              <w:fldChar w:fldCharType="end"/>
            </w:r>
          </w:hyperlink>
        </w:p>
        <w:p w14:paraId="41E97AE4" w14:textId="28281919" w:rsidR="00B60561" w:rsidRDefault="00357CAC">
          <w:pPr>
            <w:pStyle w:val="Obsah1"/>
            <w:rPr>
              <w:rFonts w:asciiTheme="minorHAnsi" w:hAnsiTheme="minorHAnsi" w:cstheme="minorBidi"/>
              <w:kern w:val="2"/>
              <w:sz w:val="24"/>
              <w:szCs w:val="24"/>
              <w:lang w:eastAsia="sk-SK"/>
              <w14:ligatures w14:val="standardContextual"/>
            </w:rPr>
          </w:pPr>
          <w:hyperlink w:anchor="_Toc173163822" w:history="1">
            <w:r w:rsidR="00B60561" w:rsidRPr="00D67C1D">
              <w:rPr>
                <w:rStyle w:val="Hypertextovprepojenie"/>
              </w:rPr>
              <w:t>2.</w:t>
            </w:r>
            <w:r w:rsidR="00B60561">
              <w:rPr>
                <w:rFonts w:asciiTheme="minorHAnsi" w:hAnsiTheme="minorHAnsi" w:cstheme="minorBidi"/>
                <w:kern w:val="2"/>
                <w:sz w:val="24"/>
                <w:szCs w:val="24"/>
                <w:lang w:eastAsia="sk-SK"/>
                <w14:ligatures w14:val="standardContextual"/>
              </w:rPr>
              <w:tab/>
            </w:r>
            <w:r w:rsidR="00B60561" w:rsidRPr="00D67C1D">
              <w:rPr>
                <w:rStyle w:val="Hypertextovprepojenie"/>
              </w:rPr>
              <w:t>Úvod</w:t>
            </w:r>
            <w:r w:rsidR="00B60561">
              <w:rPr>
                <w:webHidden/>
              </w:rPr>
              <w:tab/>
            </w:r>
            <w:r w:rsidR="00B60561">
              <w:rPr>
                <w:webHidden/>
              </w:rPr>
              <w:fldChar w:fldCharType="begin"/>
            </w:r>
            <w:r w:rsidR="00B60561">
              <w:rPr>
                <w:webHidden/>
              </w:rPr>
              <w:instrText xml:space="preserve"> PAGEREF _Toc173163822 \h </w:instrText>
            </w:r>
            <w:r w:rsidR="00B60561">
              <w:rPr>
                <w:webHidden/>
              </w:rPr>
            </w:r>
            <w:r w:rsidR="00B60561">
              <w:rPr>
                <w:webHidden/>
              </w:rPr>
              <w:fldChar w:fldCharType="separate"/>
            </w:r>
            <w:r w:rsidR="00B60561">
              <w:rPr>
                <w:webHidden/>
              </w:rPr>
              <w:t>3</w:t>
            </w:r>
            <w:r w:rsidR="00B60561">
              <w:rPr>
                <w:webHidden/>
              </w:rPr>
              <w:fldChar w:fldCharType="end"/>
            </w:r>
          </w:hyperlink>
        </w:p>
        <w:p w14:paraId="351C5E3C" w14:textId="2CC12A8D" w:rsidR="00B60561" w:rsidRDefault="00357CAC">
          <w:pPr>
            <w:pStyle w:val="Obsah1"/>
            <w:rPr>
              <w:rFonts w:asciiTheme="minorHAnsi" w:hAnsiTheme="minorHAnsi" w:cstheme="minorBidi"/>
              <w:kern w:val="2"/>
              <w:sz w:val="24"/>
              <w:szCs w:val="24"/>
              <w:lang w:eastAsia="sk-SK"/>
              <w14:ligatures w14:val="standardContextual"/>
            </w:rPr>
          </w:pPr>
          <w:hyperlink w:anchor="_Toc173163823" w:history="1">
            <w:r w:rsidR="00B60561" w:rsidRPr="00D67C1D">
              <w:rPr>
                <w:rStyle w:val="Hypertextovprepojenie"/>
              </w:rPr>
              <w:t>3.</w:t>
            </w:r>
            <w:r w:rsidR="00B60561">
              <w:rPr>
                <w:rFonts w:asciiTheme="minorHAnsi" w:hAnsiTheme="minorHAnsi" w:cstheme="minorBidi"/>
                <w:kern w:val="2"/>
                <w:sz w:val="24"/>
                <w:szCs w:val="24"/>
                <w:lang w:eastAsia="sk-SK"/>
                <w14:ligatures w14:val="standardContextual"/>
              </w:rPr>
              <w:tab/>
            </w:r>
            <w:r w:rsidR="00B60561" w:rsidRPr="00D67C1D">
              <w:rPr>
                <w:rStyle w:val="Hypertextovprepojenie"/>
              </w:rPr>
              <w:t>Doplnkové využitie infraštruktúry</w:t>
            </w:r>
            <w:r w:rsidR="00B60561">
              <w:rPr>
                <w:webHidden/>
              </w:rPr>
              <w:tab/>
            </w:r>
            <w:r w:rsidR="00B60561">
              <w:rPr>
                <w:webHidden/>
              </w:rPr>
              <w:fldChar w:fldCharType="begin"/>
            </w:r>
            <w:r w:rsidR="00B60561">
              <w:rPr>
                <w:webHidden/>
              </w:rPr>
              <w:instrText xml:space="preserve"> PAGEREF _Toc173163823 \h </w:instrText>
            </w:r>
            <w:r w:rsidR="00B60561">
              <w:rPr>
                <w:webHidden/>
              </w:rPr>
            </w:r>
            <w:r w:rsidR="00B60561">
              <w:rPr>
                <w:webHidden/>
              </w:rPr>
              <w:fldChar w:fldCharType="separate"/>
            </w:r>
            <w:r w:rsidR="00B60561">
              <w:rPr>
                <w:webHidden/>
              </w:rPr>
              <w:t>3</w:t>
            </w:r>
            <w:r w:rsidR="00B60561">
              <w:rPr>
                <w:webHidden/>
              </w:rPr>
              <w:fldChar w:fldCharType="end"/>
            </w:r>
          </w:hyperlink>
        </w:p>
        <w:p w14:paraId="1C5802BC" w14:textId="13954BAF" w:rsidR="00B60561" w:rsidRDefault="00357CAC">
          <w:pPr>
            <w:pStyle w:val="Obsah1"/>
            <w:rPr>
              <w:rFonts w:asciiTheme="minorHAnsi" w:hAnsiTheme="minorHAnsi" w:cstheme="minorBidi"/>
              <w:kern w:val="2"/>
              <w:sz w:val="24"/>
              <w:szCs w:val="24"/>
              <w:lang w:eastAsia="sk-SK"/>
              <w14:ligatures w14:val="standardContextual"/>
            </w:rPr>
          </w:pPr>
          <w:hyperlink w:anchor="_Toc173163824" w:history="1">
            <w:r w:rsidR="00B60561" w:rsidRPr="00D67C1D">
              <w:rPr>
                <w:rStyle w:val="Hypertextovprepojenie"/>
              </w:rPr>
              <w:t>4.</w:t>
            </w:r>
            <w:r w:rsidR="00B60561">
              <w:rPr>
                <w:rFonts w:asciiTheme="minorHAnsi" w:hAnsiTheme="minorHAnsi" w:cstheme="minorBidi"/>
                <w:kern w:val="2"/>
                <w:sz w:val="24"/>
                <w:szCs w:val="24"/>
                <w:lang w:eastAsia="sk-SK"/>
                <w14:ligatures w14:val="standardContextual"/>
              </w:rPr>
              <w:tab/>
            </w:r>
            <w:r w:rsidR="00B60561" w:rsidRPr="00D67C1D">
              <w:rPr>
                <w:rStyle w:val="Hypertextovprepojenie"/>
              </w:rPr>
              <w:t>Príklady hospodárskych aktivít</w:t>
            </w:r>
            <w:r w:rsidR="00B60561">
              <w:rPr>
                <w:webHidden/>
              </w:rPr>
              <w:tab/>
            </w:r>
            <w:r w:rsidR="00B60561">
              <w:rPr>
                <w:webHidden/>
              </w:rPr>
              <w:fldChar w:fldCharType="begin"/>
            </w:r>
            <w:r w:rsidR="00B60561">
              <w:rPr>
                <w:webHidden/>
              </w:rPr>
              <w:instrText xml:space="preserve"> PAGEREF _Toc173163824 \h </w:instrText>
            </w:r>
            <w:r w:rsidR="00B60561">
              <w:rPr>
                <w:webHidden/>
              </w:rPr>
            </w:r>
            <w:r w:rsidR="00B60561">
              <w:rPr>
                <w:webHidden/>
              </w:rPr>
              <w:fldChar w:fldCharType="separate"/>
            </w:r>
            <w:r w:rsidR="00B60561">
              <w:rPr>
                <w:webHidden/>
              </w:rPr>
              <w:t>5</w:t>
            </w:r>
            <w:r w:rsidR="00B60561">
              <w:rPr>
                <w:webHidden/>
              </w:rPr>
              <w:fldChar w:fldCharType="end"/>
            </w:r>
          </w:hyperlink>
        </w:p>
        <w:p w14:paraId="776D9F17" w14:textId="4C344930" w:rsidR="00B60561" w:rsidRDefault="00357CAC">
          <w:pPr>
            <w:pStyle w:val="Obsah1"/>
            <w:rPr>
              <w:rFonts w:asciiTheme="minorHAnsi" w:hAnsiTheme="minorHAnsi" w:cstheme="minorBidi"/>
              <w:kern w:val="2"/>
              <w:sz w:val="24"/>
              <w:szCs w:val="24"/>
              <w:lang w:eastAsia="sk-SK"/>
              <w14:ligatures w14:val="standardContextual"/>
            </w:rPr>
          </w:pPr>
          <w:hyperlink w:anchor="_Toc173163825" w:history="1">
            <w:r w:rsidR="00B60561" w:rsidRPr="00D67C1D">
              <w:rPr>
                <w:rStyle w:val="Hypertextovprepojenie"/>
              </w:rPr>
              <w:t>5.</w:t>
            </w:r>
            <w:r w:rsidR="00B60561">
              <w:rPr>
                <w:rFonts w:asciiTheme="minorHAnsi" w:hAnsiTheme="minorHAnsi" w:cstheme="minorBidi"/>
                <w:kern w:val="2"/>
                <w:sz w:val="24"/>
                <w:szCs w:val="24"/>
                <w:lang w:eastAsia="sk-SK"/>
                <w14:ligatures w14:val="standardContextual"/>
              </w:rPr>
              <w:tab/>
            </w:r>
            <w:r w:rsidR="00B60561" w:rsidRPr="00D67C1D">
              <w:rPr>
                <w:rStyle w:val="Hypertextovprepojenie"/>
              </w:rPr>
              <w:t>Postup sledovania doplnkového využitia infraštruktúry</w:t>
            </w:r>
            <w:r w:rsidR="00B60561">
              <w:rPr>
                <w:webHidden/>
              </w:rPr>
              <w:tab/>
            </w:r>
            <w:r w:rsidR="00B60561">
              <w:rPr>
                <w:webHidden/>
              </w:rPr>
              <w:fldChar w:fldCharType="begin"/>
            </w:r>
            <w:r w:rsidR="00B60561">
              <w:rPr>
                <w:webHidden/>
              </w:rPr>
              <w:instrText xml:space="preserve"> PAGEREF _Toc173163825 \h </w:instrText>
            </w:r>
            <w:r w:rsidR="00B60561">
              <w:rPr>
                <w:webHidden/>
              </w:rPr>
            </w:r>
            <w:r w:rsidR="00B60561">
              <w:rPr>
                <w:webHidden/>
              </w:rPr>
              <w:fldChar w:fldCharType="separate"/>
            </w:r>
            <w:r w:rsidR="00B60561">
              <w:rPr>
                <w:webHidden/>
              </w:rPr>
              <w:t>6</w:t>
            </w:r>
            <w:r w:rsidR="00B60561">
              <w:rPr>
                <w:webHidden/>
              </w:rPr>
              <w:fldChar w:fldCharType="end"/>
            </w:r>
          </w:hyperlink>
        </w:p>
        <w:p w14:paraId="437D296B" w14:textId="52A2F211" w:rsidR="00B60561" w:rsidRDefault="00357CAC">
          <w:pPr>
            <w:pStyle w:val="Obsah2"/>
            <w:tabs>
              <w:tab w:val="left" w:pos="960"/>
              <w:tab w:val="right" w:leader="dot" w:pos="9344"/>
            </w:tabs>
            <w:rPr>
              <w:rFonts w:asciiTheme="minorHAnsi" w:hAnsiTheme="minorHAnsi" w:cstheme="minorBidi"/>
              <w:noProof/>
              <w:kern w:val="2"/>
              <w:sz w:val="24"/>
              <w:szCs w:val="24"/>
              <w:lang w:eastAsia="sk-SK"/>
              <w14:ligatures w14:val="standardContextual"/>
            </w:rPr>
          </w:pPr>
          <w:hyperlink w:anchor="_Toc173163826" w:history="1">
            <w:r w:rsidR="00B60561" w:rsidRPr="00D67C1D">
              <w:rPr>
                <w:rStyle w:val="Hypertextovprepojenie"/>
                <w:rFonts w:cstheme="minorHAnsi"/>
                <w:noProof/>
                <w14:scene3d>
                  <w14:camera w14:prst="orthographicFront"/>
                  <w14:lightRig w14:rig="threePt" w14:dir="t">
                    <w14:rot w14:lat="0" w14:lon="0" w14:rev="0"/>
                  </w14:lightRig>
                </w14:scene3d>
              </w:rPr>
              <w:t>5.1</w:t>
            </w:r>
            <w:r w:rsidR="00B60561">
              <w:rPr>
                <w:rFonts w:asciiTheme="minorHAnsi" w:hAnsiTheme="minorHAnsi" w:cstheme="minorBidi"/>
                <w:noProof/>
                <w:kern w:val="2"/>
                <w:sz w:val="24"/>
                <w:szCs w:val="24"/>
                <w:lang w:eastAsia="sk-SK"/>
                <w14:ligatures w14:val="standardContextual"/>
              </w:rPr>
              <w:tab/>
            </w:r>
            <w:r w:rsidR="00B60561" w:rsidRPr="00D67C1D">
              <w:rPr>
                <w:rStyle w:val="Hypertextovprepojenie"/>
                <w:rFonts w:cstheme="minorHAnsi"/>
                <w:noProof/>
              </w:rPr>
              <w:t>Realizácia projektu a obdobie udržateľnosti projektu</w:t>
            </w:r>
            <w:r w:rsidR="00B60561">
              <w:rPr>
                <w:noProof/>
                <w:webHidden/>
              </w:rPr>
              <w:tab/>
            </w:r>
            <w:r w:rsidR="00B60561">
              <w:rPr>
                <w:noProof/>
                <w:webHidden/>
              </w:rPr>
              <w:fldChar w:fldCharType="begin"/>
            </w:r>
            <w:r w:rsidR="00B60561">
              <w:rPr>
                <w:noProof/>
                <w:webHidden/>
              </w:rPr>
              <w:instrText xml:space="preserve"> PAGEREF _Toc173163826 \h </w:instrText>
            </w:r>
            <w:r w:rsidR="00B60561">
              <w:rPr>
                <w:noProof/>
                <w:webHidden/>
              </w:rPr>
            </w:r>
            <w:r w:rsidR="00B60561">
              <w:rPr>
                <w:noProof/>
                <w:webHidden/>
              </w:rPr>
              <w:fldChar w:fldCharType="separate"/>
            </w:r>
            <w:r w:rsidR="00B60561">
              <w:rPr>
                <w:noProof/>
                <w:webHidden/>
              </w:rPr>
              <w:t>6</w:t>
            </w:r>
            <w:r w:rsidR="00B60561">
              <w:rPr>
                <w:noProof/>
                <w:webHidden/>
              </w:rPr>
              <w:fldChar w:fldCharType="end"/>
            </w:r>
          </w:hyperlink>
        </w:p>
        <w:p w14:paraId="33AAD5A6" w14:textId="74AB8366" w:rsidR="00B60561" w:rsidRDefault="00357CAC">
          <w:pPr>
            <w:pStyle w:val="Obsah1"/>
            <w:rPr>
              <w:rFonts w:asciiTheme="minorHAnsi" w:hAnsiTheme="minorHAnsi" w:cstheme="minorBidi"/>
              <w:kern w:val="2"/>
              <w:sz w:val="24"/>
              <w:szCs w:val="24"/>
              <w:lang w:eastAsia="sk-SK"/>
              <w14:ligatures w14:val="standardContextual"/>
            </w:rPr>
          </w:pPr>
          <w:hyperlink w:anchor="_Toc173163827" w:history="1">
            <w:r w:rsidR="00B60561" w:rsidRPr="00D67C1D">
              <w:rPr>
                <w:rStyle w:val="Hypertextovprepojenie"/>
              </w:rPr>
              <w:t>6.</w:t>
            </w:r>
            <w:r w:rsidR="00B60561">
              <w:rPr>
                <w:rFonts w:asciiTheme="minorHAnsi" w:hAnsiTheme="minorHAnsi" w:cstheme="minorBidi"/>
                <w:kern w:val="2"/>
                <w:sz w:val="24"/>
                <w:szCs w:val="24"/>
                <w:lang w:eastAsia="sk-SK"/>
                <w14:ligatures w14:val="standardContextual"/>
              </w:rPr>
              <w:tab/>
            </w:r>
            <w:r w:rsidR="00B60561" w:rsidRPr="00D67C1D">
              <w:rPr>
                <w:rStyle w:val="Hypertextovprepojenie"/>
              </w:rPr>
              <w:t>Prílohy</w:t>
            </w:r>
            <w:r w:rsidR="00B60561">
              <w:rPr>
                <w:webHidden/>
              </w:rPr>
              <w:tab/>
            </w:r>
            <w:r w:rsidR="00B60561">
              <w:rPr>
                <w:webHidden/>
              </w:rPr>
              <w:fldChar w:fldCharType="begin"/>
            </w:r>
            <w:r w:rsidR="00B60561">
              <w:rPr>
                <w:webHidden/>
              </w:rPr>
              <w:instrText xml:space="preserve"> PAGEREF _Toc173163827 \h </w:instrText>
            </w:r>
            <w:r w:rsidR="00B60561">
              <w:rPr>
                <w:webHidden/>
              </w:rPr>
            </w:r>
            <w:r w:rsidR="00B60561">
              <w:rPr>
                <w:webHidden/>
              </w:rPr>
              <w:fldChar w:fldCharType="separate"/>
            </w:r>
            <w:r w:rsidR="00B60561">
              <w:rPr>
                <w:webHidden/>
              </w:rPr>
              <w:t>7</w:t>
            </w:r>
            <w:r w:rsidR="00B60561">
              <w:rPr>
                <w:webHidden/>
              </w:rPr>
              <w:fldChar w:fldCharType="end"/>
            </w:r>
          </w:hyperlink>
        </w:p>
        <w:p w14:paraId="791F3F51" w14:textId="5C2C6199" w:rsidR="008E73CF" w:rsidRPr="00A5644E" w:rsidRDefault="008E73CF" w:rsidP="00E74D83">
          <w:pPr>
            <w:spacing w:before="120" w:line="259" w:lineRule="auto"/>
            <w:rPr>
              <w:rFonts w:asciiTheme="minorHAnsi" w:hAnsiTheme="minorHAnsi" w:cstheme="minorHAnsi"/>
              <w:b/>
              <w:bCs/>
              <w:noProof/>
              <w:sz w:val="22"/>
            </w:rPr>
            <w:sectPr w:rsidR="008E73CF" w:rsidRPr="00A5644E" w:rsidSect="00444105">
              <w:headerReference w:type="default" r:id="rId11"/>
              <w:footerReference w:type="default" r:id="rId12"/>
              <w:headerReference w:type="first" r:id="rId13"/>
              <w:footerReference w:type="first" r:id="rId14"/>
              <w:pgSz w:w="11906" w:h="16838"/>
              <w:pgMar w:top="1985" w:right="1134" w:bottom="567" w:left="1418" w:header="709" w:footer="709" w:gutter="0"/>
              <w:pgNumType w:start="1"/>
              <w:cols w:space="708"/>
              <w:docGrid w:linePitch="360"/>
            </w:sectPr>
          </w:pPr>
          <w:r w:rsidRPr="00E74D83">
            <w:rPr>
              <w:rFonts w:asciiTheme="minorHAnsi" w:hAnsiTheme="minorHAnsi" w:cstheme="minorHAnsi"/>
              <w:b/>
              <w:bCs/>
              <w:noProof/>
              <w:sz w:val="22"/>
            </w:rPr>
            <w:fldChar w:fldCharType="end"/>
          </w:r>
        </w:p>
      </w:sdtContent>
    </w:sdt>
    <w:p w14:paraId="3ECD086D" w14:textId="77777777" w:rsidR="008E73CF" w:rsidRPr="00E74D83" w:rsidRDefault="008E73CF" w:rsidP="00E74D83">
      <w:pPr>
        <w:spacing w:before="120" w:line="259" w:lineRule="auto"/>
        <w:rPr>
          <w:rFonts w:asciiTheme="minorHAnsi" w:hAnsiTheme="minorHAnsi" w:cstheme="minorHAnsi"/>
          <w:sz w:val="22"/>
        </w:rPr>
      </w:pPr>
    </w:p>
    <w:p w14:paraId="5AC91D21" w14:textId="77777777" w:rsidR="008E73CF" w:rsidRPr="00444105" w:rsidRDefault="008E73CF" w:rsidP="00444105">
      <w:pPr>
        <w:pStyle w:val="Nadpis1"/>
      </w:pPr>
      <w:bookmarkStart w:id="2" w:name="_Toc173163821"/>
      <w:r w:rsidRPr="00444105">
        <w:t>Skratky a definície</w:t>
      </w:r>
      <w:bookmarkEnd w:id="2"/>
    </w:p>
    <w:p w14:paraId="706F6B87" w14:textId="77777777" w:rsidR="008E73CF" w:rsidRPr="00E74D83" w:rsidRDefault="008E73CF" w:rsidP="00E74D83">
      <w:pPr>
        <w:spacing w:before="120" w:line="259" w:lineRule="auto"/>
        <w:rPr>
          <w:rFonts w:asciiTheme="minorHAnsi" w:hAnsiTheme="minorHAnsi" w:cstheme="minorHAnsi"/>
          <w:b/>
          <w:sz w:val="22"/>
        </w:rPr>
      </w:pPr>
    </w:p>
    <w:p w14:paraId="7D7D1380" w14:textId="77777777" w:rsidR="008E73CF" w:rsidRPr="00E74D83" w:rsidRDefault="008E73CF" w:rsidP="00E74D83">
      <w:pPr>
        <w:spacing w:before="120" w:line="259" w:lineRule="auto"/>
        <w:rPr>
          <w:rFonts w:asciiTheme="minorHAnsi" w:hAnsiTheme="minorHAnsi" w:cstheme="minorHAnsi"/>
          <w:b/>
          <w:sz w:val="22"/>
        </w:rPr>
      </w:pPr>
      <w:r w:rsidRPr="00E74D83">
        <w:rPr>
          <w:rFonts w:asciiTheme="minorHAnsi" w:hAnsiTheme="minorHAnsi" w:cstheme="minorHAnsi"/>
          <w:b/>
          <w:sz w:val="22"/>
        </w:rPr>
        <w:t xml:space="preserve">Skratky </w:t>
      </w:r>
    </w:p>
    <w:p w14:paraId="42620046" w14:textId="77777777"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EK</w:t>
      </w:r>
      <w:r w:rsidRPr="00E74D83">
        <w:rPr>
          <w:rFonts w:asciiTheme="minorHAnsi" w:hAnsiTheme="minorHAnsi" w:cstheme="minorHAnsi"/>
          <w:sz w:val="22"/>
        </w:rPr>
        <w:tab/>
      </w:r>
      <w:r w:rsidRPr="00E74D83">
        <w:rPr>
          <w:rFonts w:asciiTheme="minorHAnsi" w:hAnsiTheme="minorHAnsi" w:cstheme="minorHAnsi"/>
          <w:sz w:val="22"/>
        </w:rPr>
        <w:tab/>
        <w:t>Európska komisia</w:t>
      </w:r>
    </w:p>
    <w:p w14:paraId="61820E57" w14:textId="77777777" w:rsidR="00D64F56" w:rsidRPr="00E74D83" w:rsidRDefault="00D64F56" w:rsidP="00E74D83">
      <w:pPr>
        <w:spacing w:before="120" w:line="259" w:lineRule="auto"/>
        <w:rPr>
          <w:rFonts w:asciiTheme="minorHAnsi" w:hAnsiTheme="minorHAnsi" w:cstheme="minorHAnsi"/>
          <w:sz w:val="22"/>
        </w:rPr>
      </w:pPr>
      <w:r w:rsidRPr="00E74D83">
        <w:rPr>
          <w:rFonts w:asciiTheme="minorHAnsi" w:hAnsiTheme="minorHAnsi" w:cstheme="minorHAnsi"/>
          <w:sz w:val="22"/>
        </w:rPr>
        <w:t>EÚ</w:t>
      </w:r>
      <w:r w:rsidRPr="00E74D83">
        <w:rPr>
          <w:rFonts w:asciiTheme="minorHAnsi" w:hAnsiTheme="minorHAnsi" w:cstheme="minorHAnsi"/>
          <w:sz w:val="22"/>
        </w:rPr>
        <w:tab/>
      </w:r>
      <w:r w:rsidRPr="00E74D83">
        <w:rPr>
          <w:rFonts w:asciiTheme="minorHAnsi" w:hAnsiTheme="minorHAnsi" w:cstheme="minorHAnsi"/>
          <w:sz w:val="22"/>
        </w:rPr>
        <w:tab/>
        <w:t>Európska únia</w:t>
      </w:r>
    </w:p>
    <w:p w14:paraId="553F2752" w14:textId="77777777" w:rsidR="00FB5C41" w:rsidRPr="00E74D83" w:rsidRDefault="00FB5C41" w:rsidP="00E74D83">
      <w:pPr>
        <w:spacing w:before="120" w:line="259" w:lineRule="auto"/>
        <w:rPr>
          <w:rFonts w:asciiTheme="minorHAnsi" w:hAnsiTheme="minorHAnsi" w:cstheme="minorHAnsi"/>
          <w:sz w:val="22"/>
        </w:rPr>
      </w:pPr>
      <w:r w:rsidRPr="00E74D83">
        <w:rPr>
          <w:rFonts w:asciiTheme="minorHAnsi" w:hAnsiTheme="minorHAnsi" w:cstheme="minorHAnsi"/>
          <w:sz w:val="22"/>
        </w:rPr>
        <w:t>NFP</w:t>
      </w:r>
      <w:r w:rsidRPr="00E74D83">
        <w:rPr>
          <w:rFonts w:asciiTheme="minorHAnsi" w:hAnsiTheme="minorHAnsi" w:cstheme="minorHAnsi"/>
          <w:sz w:val="22"/>
        </w:rPr>
        <w:tab/>
      </w:r>
      <w:r w:rsidRPr="00E74D83">
        <w:rPr>
          <w:rFonts w:asciiTheme="minorHAnsi" w:hAnsiTheme="minorHAnsi" w:cstheme="minorHAnsi"/>
          <w:sz w:val="22"/>
        </w:rPr>
        <w:tab/>
        <w:t>Nenávratný finančný príspevok</w:t>
      </w:r>
    </w:p>
    <w:p w14:paraId="56C4FD8E" w14:textId="369D71C4"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P SK</w:t>
      </w:r>
      <w:r w:rsidRPr="00E74D83">
        <w:rPr>
          <w:rFonts w:asciiTheme="minorHAnsi" w:hAnsiTheme="minorHAnsi" w:cstheme="minorHAnsi"/>
          <w:sz w:val="22"/>
        </w:rPr>
        <w:tab/>
      </w:r>
      <w:r w:rsidRPr="00E74D83">
        <w:rPr>
          <w:rFonts w:asciiTheme="minorHAnsi" w:hAnsiTheme="minorHAnsi" w:cstheme="minorHAnsi"/>
          <w:sz w:val="22"/>
        </w:rPr>
        <w:tab/>
        <w:t>Program Slovensko</w:t>
      </w:r>
      <w:r w:rsidR="005D4F4A" w:rsidRPr="00E74D83">
        <w:rPr>
          <w:rFonts w:asciiTheme="minorHAnsi" w:hAnsiTheme="minorHAnsi" w:cstheme="minorHAnsi"/>
          <w:sz w:val="22"/>
        </w:rPr>
        <w:t xml:space="preserve"> 2021 - 2027</w:t>
      </w:r>
    </w:p>
    <w:p w14:paraId="5E401151" w14:textId="77777777" w:rsidR="008E73CF"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 xml:space="preserve">RO </w:t>
      </w:r>
      <w:r w:rsidRPr="00E74D83">
        <w:rPr>
          <w:rFonts w:asciiTheme="minorHAnsi" w:hAnsiTheme="minorHAnsi" w:cstheme="minorHAnsi"/>
          <w:sz w:val="22"/>
        </w:rPr>
        <w:tab/>
      </w:r>
      <w:r w:rsidRPr="00E74D83">
        <w:rPr>
          <w:rFonts w:asciiTheme="minorHAnsi" w:hAnsiTheme="minorHAnsi" w:cstheme="minorHAnsi"/>
          <w:sz w:val="22"/>
        </w:rPr>
        <w:tab/>
        <w:t>Riadiaci orgán</w:t>
      </w:r>
    </w:p>
    <w:p w14:paraId="53430BAD" w14:textId="75346F85" w:rsidR="0069296A" w:rsidRPr="00E74D83" w:rsidRDefault="0069296A" w:rsidP="00E74D83">
      <w:pPr>
        <w:spacing w:before="120" w:line="259" w:lineRule="auto"/>
        <w:rPr>
          <w:rFonts w:asciiTheme="minorHAnsi" w:hAnsiTheme="minorHAnsi" w:cstheme="minorHAnsi"/>
          <w:sz w:val="22"/>
        </w:rPr>
      </w:pPr>
      <w:r>
        <w:rPr>
          <w:rFonts w:asciiTheme="minorHAnsi" w:hAnsiTheme="minorHAnsi" w:cstheme="minorHAnsi"/>
          <w:sz w:val="22"/>
        </w:rPr>
        <w:t>SO</w:t>
      </w:r>
      <w:r>
        <w:rPr>
          <w:rFonts w:asciiTheme="minorHAnsi" w:hAnsiTheme="minorHAnsi" w:cstheme="minorHAnsi"/>
          <w:sz w:val="22"/>
        </w:rPr>
        <w:tab/>
      </w:r>
      <w:r>
        <w:rPr>
          <w:rFonts w:asciiTheme="minorHAnsi" w:hAnsiTheme="minorHAnsi" w:cstheme="minorHAnsi"/>
          <w:sz w:val="22"/>
        </w:rPr>
        <w:tab/>
        <w:t>Sprostredkovateľský orgán (Úrad vlády SR)</w:t>
      </w:r>
    </w:p>
    <w:p w14:paraId="18D66A63" w14:textId="77777777" w:rsidR="00D64F56" w:rsidRPr="00E74D83" w:rsidRDefault="00D64F56" w:rsidP="00E74D83">
      <w:pPr>
        <w:spacing w:before="120" w:line="259" w:lineRule="auto"/>
        <w:rPr>
          <w:rFonts w:asciiTheme="minorHAnsi" w:hAnsiTheme="minorHAnsi" w:cstheme="minorHAnsi"/>
          <w:sz w:val="22"/>
        </w:rPr>
      </w:pPr>
      <w:r w:rsidRPr="00E74D83">
        <w:rPr>
          <w:rFonts w:asciiTheme="minorHAnsi" w:hAnsiTheme="minorHAnsi" w:cstheme="minorHAnsi"/>
          <w:sz w:val="22"/>
        </w:rPr>
        <w:t>SR</w:t>
      </w:r>
      <w:r w:rsidRPr="00E74D83">
        <w:rPr>
          <w:rFonts w:asciiTheme="minorHAnsi" w:hAnsiTheme="minorHAnsi" w:cstheme="minorHAnsi"/>
          <w:sz w:val="22"/>
        </w:rPr>
        <w:tab/>
      </w:r>
      <w:r w:rsidRPr="00E74D83">
        <w:rPr>
          <w:rFonts w:asciiTheme="minorHAnsi" w:hAnsiTheme="minorHAnsi" w:cstheme="minorHAnsi"/>
          <w:sz w:val="22"/>
        </w:rPr>
        <w:tab/>
        <w:t>Slovenská republika</w:t>
      </w:r>
    </w:p>
    <w:p w14:paraId="74BC12A1" w14:textId="77777777" w:rsidR="00FB5C41" w:rsidRPr="00E74D83" w:rsidRDefault="00FB5C41" w:rsidP="00E74D83">
      <w:pPr>
        <w:spacing w:before="120" w:line="259" w:lineRule="auto"/>
        <w:rPr>
          <w:rFonts w:asciiTheme="minorHAnsi" w:hAnsiTheme="minorHAnsi" w:cstheme="minorHAnsi"/>
          <w:sz w:val="22"/>
        </w:rPr>
      </w:pPr>
      <w:proofErr w:type="spellStart"/>
      <w:r w:rsidRPr="00E74D83">
        <w:rPr>
          <w:rFonts w:asciiTheme="minorHAnsi" w:hAnsiTheme="minorHAnsi" w:cstheme="minorHAnsi"/>
          <w:sz w:val="22"/>
        </w:rPr>
        <w:t>ŽoNFP</w:t>
      </w:r>
      <w:proofErr w:type="spellEnd"/>
      <w:r w:rsidRPr="00E74D83">
        <w:rPr>
          <w:rFonts w:asciiTheme="minorHAnsi" w:hAnsiTheme="minorHAnsi" w:cstheme="minorHAnsi"/>
          <w:sz w:val="22"/>
        </w:rPr>
        <w:tab/>
      </w:r>
      <w:r w:rsidRPr="00E74D83">
        <w:rPr>
          <w:rFonts w:asciiTheme="minorHAnsi" w:hAnsiTheme="minorHAnsi" w:cstheme="minorHAnsi"/>
          <w:sz w:val="22"/>
        </w:rPr>
        <w:tab/>
        <w:t>Žiadosť o nenávratný finančný príspevok</w:t>
      </w:r>
    </w:p>
    <w:p w14:paraId="6E23B34E" w14:textId="77777777" w:rsidR="008E73CF" w:rsidRPr="00E74D83" w:rsidRDefault="008E73CF" w:rsidP="00E74D83">
      <w:pPr>
        <w:spacing w:before="120" w:line="259" w:lineRule="auto"/>
        <w:rPr>
          <w:rFonts w:asciiTheme="minorHAnsi" w:hAnsiTheme="minorHAnsi" w:cstheme="minorHAnsi"/>
          <w:b/>
          <w:sz w:val="22"/>
        </w:rPr>
      </w:pPr>
    </w:p>
    <w:p w14:paraId="6AA2AB3F" w14:textId="77777777" w:rsidR="008E73CF" w:rsidRPr="00E74D83" w:rsidRDefault="008E73CF" w:rsidP="00E74D83">
      <w:pPr>
        <w:spacing w:before="120" w:line="259" w:lineRule="auto"/>
        <w:rPr>
          <w:rFonts w:asciiTheme="minorHAnsi" w:hAnsiTheme="minorHAnsi" w:cstheme="minorHAnsi"/>
          <w:b/>
          <w:sz w:val="22"/>
        </w:rPr>
      </w:pPr>
      <w:r w:rsidRPr="00E74D83">
        <w:rPr>
          <w:rFonts w:asciiTheme="minorHAnsi" w:hAnsiTheme="minorHAnsi" w:cstheme="minorHAnsi"/>
          <w:b/>
          <w:sz w:val="22"/>
        </w:rPr>
        <w:t>Definície</w:t>
      </w:r>
    </w:p>
    <w:p w14:paraId="7D909016" w14:textId="0E589601" w:rsidR="008E73CF" w:rsidRPr="00E74D83" w:rsidRDefault="008E73CF" w:rsidP="00E74D83">
      <w:pPr>
        <w:numPr>
          <w:ilvl w:val="0"/>
          <w:numId w:val="7"/>
        </w:numPr>
        <w:tabs>
          <w:tab w:val="clear" w:pos="720"/>
          <w:tab w:val="num" w:pos="426"/>
        </w:tabs>
        <w:spacing w:before="120" w:line="259" w:lineRule="auto"/>
        <w:ind w:left="426" w:hanging="426"/>
        <w:rPr>
          <w:rFonts w:asciiTheme="minorHAnsi" w:hAnsiTheme="minorHAnsi" w:cstheme="minorHAnsi"/>
          <w:sz w:val="22"/>
        </w:rPr>
      </w:pPr>
      <w:r w:rsidRPr="00E74D83">
        <w:rPr>
          <w:rFonts w:asciiTheme="minorHAnsi" w:hAnsiTheme="minorHAnsi" w:cstheme="minorHAnsi"/>
          <w:b/>
          <w:sz w:val="22"/>
        </w:rPr>
        <w:t>Infraštruktúrou</w:t>
      </w:r>
      <w:r w:rsidRPr="00E74D83">
        <w:rPr>
          <w:rFonts w:asciiTheme="minorHAnsi" w:hAnsiTheme="minorHAnsi" w:cstheme="minorHAnsi"/>
          <w:sz w:val="22"/>
        </w:rPr>
        <w:t xml:space="preserve"> sa pre účely t</w:t>
      </w:r>
      <w:r w:rsidR="00E84AB6" w:rsidRPr="00E74D83">
        <w:rPr>
          <w:rFonts w:asciiTheme="minorHAnsi" w:hAnsiTheme="minorHAnsi" w:cstheme="minorHAnsi"/>
          <w:sz w:val="22"/>
        </w:rPr>
        <w:t>ých</w:t>
      </w:r>
      <w:r w:rsidRPr="00E74D83">
        <w:rPr>
          <w:rFonts w:asciiTheme="minorHAnsi" w:hAnsiTheme="minorHAnsi" w:cstheme="minorHAnsi"/>
          <w:sz w:val="22"/>
        </w:rPr>
        <w:t xml:space="preserve">to </w:t>
      </w:r>
      <w:r w:rsidR="00E84AB6" w:rsidRPr="00E74D83">
        <w:rPr>
          <w:rFonts w:asciiTheme="minorHAnsi" w:hAnsiTheme="minorHAnsi" w:cstheme="minorHAnsi"/>
          <w:sz w:val="22"/>
        </w:rPr>
        <w:t>pravidiel</w:t>
      </w:r>
      <w:r w:rsidRPr="00E74D83">
        <w:rPr>
          <w:rFonts w:asciiTheme="minorHAnsi" w:hAnsiTheme="minorHAnsi" w:cstheme="minorHAnsi"/>
          <w:sz w:val="22"/>
        </w:rPr>
        <w:t xml:space="preserve"> rozumie konkrétna funkčná jednotka napr. laboratórium, učebňa, dielňa, ktorá vďaka svojej organizačnej štruktúre, materiálno-technickému vybaveniu a personálu dokáže samostatne vykonávať hospodárske aktivity využívajúc pri tom rovnaké vstupy (materiál, zariadenie, pracovná sila a fixný kapitál) ako pri nehospodárskej činnosti, a to bez ohľadu na právnu subjektivitu žiadateľa/prijímateľa. Ak je hospodársky využívaná iba časť funkčnej jednotky (napr. zariadenie - počítač, prístroj, stroj) a nie celá funkčná jednotka, rozumie sa pod hospodársky využívanou infraštruktúrou pre účely sledovania využitia jej ročnej kapacity iba táto časť funkčnej jednotky.</w:t>
      </w:r>
    </w:p>
    <w:p w14:paraId="2DF49407" w14:textId="1EEE25F4" w:rsidR="008E73CF" w:rsidRPr="00E74D83" w:rsidRDefault="008E73CF" w:rsidP="00E74D83">
      <w:pPr>
        <w:numPr>
          <w:ilvl w:val="0"/>
          <w:numId w:val="7"/>
        </w:numPr>
        <w:tabs>
          <w:tab w:val="clear" w:pos="720"/>
          <w:tab w:val="num" w:pos="426"/>
        </w:tabs>
        <w:spacing w:before="120" w:line="259" w:lineRule="auto"/>
        <w:ind w:left="426" w:hanging="426"/>
        <w:rPr>
          <w:rFonts w:asciiTheme="minorHAnsi" w:hAnsiTheme="minorHAnsi" w:cstheme="minorHAnsi"/>
          <w:sz w:val="22"/>
        </w:rPr>
      </w:pPr>
      <w:r w:rsidRPr="00E74D83">
        <w:rPr>
          <w:rFonts w:asciiTheme="minorHAnsi" w:hAnsiTheme="minorHAnsi" w:cstheme="minorHAnsi"/>
          <w:b/>
          <w:sz w:val="22"/>
        </w:rPr>
        <w:t>Celkovou ročnou kapacitou infraštruktúry</w:t>
      </w:r>
      <w:r w:rsidRPr="00E74D83">
        <w:rPr>
          <w:rFonts w:asciiTheme="minorHAnsi" w:hAnsiTheme="minorHAnsi" w:cstheme="minorHAnsi"/>
          <w:sz w:val="22"/>
        </w:rPr>
        <w:t xml:space="preserve"> sa pre </w:t>
      </w:r>
      <w:r w:rsidR="00E84AB6" w:rsidRPr="00E74D83">
        <w:rPr>
          <w:rFonts w:asciiTheme="minorHAnsi" w:hAnsiTheme="minorHAnsi" w:cstheme="minorHAnsi"/>
          <w:sz w:val="22"/>
        </w:rPr>
        <w:t>účely týchto pravidiel</w:t>
      </w:r>
      <w:r w:rsidRPr="00E74D83">
        <w:rPr>
          <w:rFonts w:asciiTheme="minorHAnsi" w:hAnsiTheme="minorHAnsi" w:cstheme="minorHAnsi"/>
          <w:sz w:val="22"/>
        </w:rPr>
        <w:t xml:space="preserve"> rozumie údaj o maximálnom možnom využití podporenej zadefinovanej infraštruktúry prijímateľom v priebehu časového obdobia jedného roka. V závislosti od konkrétnych okolností môže byť na meranie ročnej kapacity infraštruktúry použitý napríklad ročný časový fond využívania infraštruktúry, veľkosť využívanej plochy podporenej infraštruktúry, ročná hodnota spotrebovaných vstupov (materiál, zariadenia, pracovná sila a fixný kapitál) a pod. </w:t>
      </w:r>
    </w:p>
    <w:p w14:paraId="1ADFAA16" w14:textId="11DAD55E" w:rsidR="008E73CF" w:rsidRDefault="008E73CF" w:rsidP="00E74D83">
      <w:pPr>
        <w:tabs>
          <w:tab w:val="num" w:pos="426"/>
        </w:tabs>
        <w:spacing w:before="120" w:line="259" w:lineRule="auto"/>
        <w:ind w:left="426"/>
        <w:rPr>
          <w:rFonts w:asciiTheme="minorHAnsi" w:hAnsiTheme="minorHAnsi" w:cstheme="minorHAnsi"/>
          <w:sz w:val="22"/>
        </w:rPr>
      </w:pPr>
      <w:r w:rsidRPr="00E74D83">
        <w:rPr>
          <w:rFonts w:asciiTheme="minorHAnsi" w:hAnsiTheme="minorHAnsi" w:cstheme="minorHAnsi"/>
          <w:sz w:val="22"/>
        </w:rPr>
        <w:t>Celková ročná kapacita sa uvádza a sleduje pre daný kalendárny rok. Jej výpočet musí čo najlogickejšie odrážať podiel hospodárskeho využitia infraštruktúry na celkovej</w:t>
      </w:r>
      <w:r w:rsidR="00D64F56" w:rsidRPr="00E74D83">
        <w:rPr>
          <w:rFonts w:asciiTheme="minorHAnsi" w:hAnsiTheme="minorHAnsi" w:cstheme="minorHAnsi"/>
          <w:sz w:val="22"/>
        </w:rPr>
        <w:t xml:space="preserve"> ročnej kapacite infraštruktúry</w:t>
      </w:r>
      <w:r w:rsidR="005D4F4A" w:rsidRPr="00E74D83">
        <w:rPr>
          <w:rFonts w:asciiTheme="minorHAnsi" w:hAnsiTheme="minorHAnsi" w:cstheme="minorHAnsi"/>
          <w:sz w:val="22"/>
        </w:rPr>
        <w:t>.</w:t>
      </w:r>
    </w:p>
    <w:p w14:paraId="1298DB6D" w14:textId="77777777" w:rsidR="00A5644E" w:rsidRDefault="00A5644E" w:rsidP="00E74D83">
      <w:pPr>
        <w:tabs>
          <w:tab w:val="num" w:pos="426"/>
        </w:tabs>
        <w:spacing w:before="120" w:line="259" w:lineRule="auto"/>
        <w:ind w:left="426"/>
        <w:rPr>
          <w:rFonts w:asciiTheme="minorHAnsi" w:hAnsiTheme="minorHAnsi" w:cstheme="minorHAnsi"/>
          <w:sz w:val="22"/>
        </w:rPr>
      </w:pPr>
    </w:p>
    <w:p w14:paraId="201A3ABE" w14:textId="77777777" w:rsidR="00A5644E" w:rsidRDefault="00A5644E" w:rsidP="00E74D83">
      <w:pPr>
        <w:tabs>
          <w:tab w:val="num" w:pos="426"/>
        </w:tabs>
        <w:spacing w:before="120" w:line="259" w:lineRule="auto"/>
        <w:ind w:left="426"/>
        <w:rPr>
          <w:rFonts w:asciiTheme="minorHAnsi" w:hAnsiTheme="minorHAnsi" w:cstheme="minorHAnsi"/>
          <w:sz w:val="22"/>
        </w:rPr>
      </w:pPr>
    </w:p>
    <w:p w14:paraId="72368A6C" w14:textId="77777777" w:rsidR="00A5644E" w:rsidRPr="00E74D83" w:rsidRDefault="00A5644E" w:rsidP="00E74D83">
      <w:pPr>
        <w:tabs>
          <w:tab w:val="num" w:pos="426"/>
        </w:tabs>
        <w:spacing w:before="120" w:line="259" w:lineRule="auto"/>
        <w:ind w:left="426"/>
        <w:rPr>
          <w:rFonts w:asciiTheme="minorHAnsi" w:hAnsiTheme="minorHAnsi" w:cstheme="minorHAnsi"/>
          <w:sz w:val="22"/>
        </w:rPr>
      </w:pPr>
    </w:p>
    <w:p w14:paraId="13383365" w14:textId="77777777" w:rsidR="00D924DD" w:rsidRPr="00E74D83" w:rsidRDefault="00D924DD" w:rsidP="00E74D83">
      <w:pPr>
        <w:tabs>
          <w:tab w:val="num" w:pos="426"/>
        </w:tabs>
        <w:spacing w:before="120" w:line="259" w:lineRule="auto"/>
        <w:ind w:left="426"/>
        <w:rPr>
          <w:rFonts w:asciiTheme="minorHAnsi" w:hAnsiTheme="minorHAnsi" w:cstheme="minorHAnsi"/>
          <w:sz w:val="22"/>
        </w:rPr>
      </w:pPr>
    </w:p>
    <w:p w14:paraId="60400641" w14:textId="77777777" w:rsidR="008E73CF" w:rsidRPr="00E74D83" w:rsidRDefault="008E73CF" w:rsidP="00444105">
      <w:pPr>
        <w:pStyle w:val="Nadpis1"/>
      </w:pPr>
      <w:bookmarkStart w:id="3" w:name="_Toc173163822"/>
      <w:r w:rsidRPr="00E74D83">
        <w:lastRenderedPageBreak/>
        <w:t>Úvod</w:t>
      </w:r>
      <w:bookmarkEnd w:id="3"/>
    </w:p>
    <w:p w14:paraId="133CDEB5" w14:textId="23A2E860" w:rsidR="008E73CF" w:rsidRPr="00E74D83" w:rsidRDefault="0069296A" w:rsidP="00E74D83">
      <w:pPr>
        <w:spacing w:before="120" w:line="259" w:lineRule="auto"/>
        <w:rPr>
          <w:rFonts w:asciiTheme="minorHAnsi" w:hAnsiTheme="minorHAnsi" w:cstheme="minorHAnsi"/>
          <w:sz w:val="22"/>
        </w:rPr>
      </w:pPr>
      <w:r>
        <w:rPr>
          <w:rFonts w:asciiTheme="minorHAnsi" w:hAnsiTheme="minorHAnsi" w:cstheme="minorHAnsi"/>
          <w:sz w:val="22"/>
        </w:rPr>
        <w:t>SO</w:t>
      </w:r>
      <w:r w:rsidR="008E73CF" w:rsidRPr="00E74D83">
        <w:rPr>
          <w:rFonts w:asciiTheme="minorHAnsi" w:hAnsiTheme="minorHAnsi" w:cstheme="minorHAnsi"/>
          <w:sz w:val="22"/>
        </w:rPr>
        <w:t xml:space="preserve"> </w:t>
      </w:r>
      <w:r w:rsidR="005D4F4A" w:rsidRPr="00E74D83">
        <w:rPr>
          <w:rFonts w:asciiTheme="minorHAnsi" w:hAnsiTheme="minorHAnsi" w:cstheme="minorHAnsi"/>
          <w:sz w:val="22"/>
        </w:rPr>
        <w:t xml:space="preserve">stanovuje v tomto dokumente pravidlá pre </w:t>
      </w:r>
      <w:r w:rsidR="008E73CF" w:rsidRPr="00E74D83">
        <w:rPr>
          <w:rFonts w:asciiTheme="minorHAnsi" w:hAnsiTheme="minorHAnsi" w:cstheme="minorHAnsi"/>
          <w:sz w:val="22"/>
        </w:rPr>
        <w:t xml:space="preserve">žiadateľov a prijímateľov </w:t>
      </w:r>
      <w:r w:rsidR="005D4F4A" w:rsidRPr="00E74D83">
        <w:rPr>
          <w:rFonts w:asciiTheme="minorHAnsi" w:hAnsiTheme="minorHAnsi" w:cstheme="minorHAnsi"/>
          <w:sz w:val="22"/>
        </w:rPr>
        <w:t xml:space="preserve">v rámci </w:t>
      </w:r>
      <w:r>
        <w:rPr>
          <w:rFonts w:asciiTheme="minorHAnsi" w:hAnsiTheme="minorHAnsi" w:cstheme="minorHAnsi"/>
          <w:sz w:val="22"/>
        </w:rPr>
        <w:t xml:space="preserve">výzvy </w:t>
      </w:r>
      <w:r w:rsidRPr="00B74248">
        <w:rPr>
          <w:color w:val="000000"/>
          <w:lang w:eastAsia="sk-SK"/>
        </w:rPr>
        <w:t>PSK</w:t>
      </w:r>
      <w:r>
        <w:rPr>
          <w:color w:val="000000"/>
          <w:lang w:eastAsia="sk-SK"/>
        </w:rPr>
        <w:t>-</w:t>
      </w:r>
      <w:r w:rsidRPr="00B74248">
        <w:rPr>
          <w:color w:val="000000"/>
          <w:lang w:eastAsia="sk-SK"/>
        </w:rPr>
        <w:t>UV</w:t>
      </w:r>
      <w:r>
        <w:rPr>
          <w:color w:val="000000"/>
          <w:lang w:eastAsia="sk-SK"/>
        </w:rPr>
        <w:t>-</w:t>
      </w:r>
      <w:r w:rsidRPr="00B74248">
        <w:rPr>
          <w:color w:val="000000"/>
          <w:lang w:eastAsia="sk-SK"/>
        </w:rPr>
        <w:t>0</w:t>
      </w:r>
      <w:r w:rsidR="00357CAC">
        <w:rPr>
          <w:color w:val="000000"/>
          <w:lang w:eastAsia="sk-SK"/>
        </w:rPr>
        <w:t>10</w:t>
      </w:r>
      <w:r>
        <w:rPr>
          <w:color w:val="000000"/>
          <w:lang w:eastAsia="sk-SK"/>
        </w:rPr>
        <w:t>-</w:t>
      </w:r>
      <w:r w:rsidRPr="00B74248">
        <w:rPr>
          <w:color w:val="000000"/>
          <w:lang w:eastAsia="sk-SK"/>
        </w:rPr>
        <w:t>202</w:t>
      </w:r>
      <w:r>
        <w:rPr>
          <w:color w:val="000000"/>
          <w:lang w:eastAsia="sk-SK"/>
        </w:rPr>
        <w:t>4-</w:t>
      </w:r>
      <w:r w:rsidRPr="00B74248">
        <w:rPr>
          <w:color w:val="000000"/>
          <w:lang w:eastAsia="sk-SK"/>
        </w:rPr>
        <w:t>DV</w:t>
      </w:r>
      <w:r>
        <w:rPr>
          <w:color w:val="000000"/>
          <w:lang w:eastAsia="sk-SK"/>
        </w:rPr>
        <w:t>-</w:t>
      </w:r>
      <w:r w:rsidRPr="00B74248">
        <w:rPr>
          <w:color w:val="000000"/>
          <w:lang w:eastAsia="sk-SK"/>
        </w:rPr>
        <w:t>EFRR</w:t>
      </w:r>
      <w:r w:rsidR="008E73CF" w:rsidRPr="00E74D83">
        <w:rPr>
          <w:rFonts w:asciiTheme="minorHAnsi" w:hAnsiTheme="minorHAnsi" w:cstheme="minorHAnsi"/>
          <w:sz w:val="22"/>
        </w:rPr>
        <w:t xml:space="preserve">, ktorí budú </w:t>
      </w:r>
      <w:r w:rsidR="009B3078">
        <w:rPr>
          <w:rFonts w:asciiTheme="minorHAnsi" w:hAnsiTheme="minorHAnsi" w:cstheme="minorHAnsi"/>
          <w:sz w:val="22"/>
        </w:rPr>
        <w:t xml:space="preserve">potenciálne </w:t>
      </w:r>
      <w:r w:rsidR="008E73CF" w:rsidRPr="00E74D83">
        <w:rPr>
          <w:rFonts w:asciiTheme="minorHAnsi" w:hAnsiTheme="minorHAnsi" w:cstheme="minorHAnsi"/>
          <w:sz w:val="22"/>
        </w:rPr>
        <w:t>využívať infraštruktúru podporenú z verejných prostriedkov prostredníctvom NFP na</w:t>
      </w:r>
      <w:r w:rsidR="005D4F4A" w:rsidRPr="00E74D83">
        <w:rPr>
          <w:rFonts w:asciiTheme="minorHAnsi" w:hAnsiTheme="minorHAnsi" w:cstheme="minorHAnsi"/>
          <w:sz w:val="22"/>
        </w:rPr>
        <w:t> </w:t>
      </w:r>
      <w:r w:rsidR="008E73CF" w:rsidRPr="00E74D83">
        <w:rPr>
          <w:rFonts w:asciiTheme="minorHAnsi" w:hAnsiTheme="minorHAnsi" w:cstheme="minorHAnsi"/>
          <w:sz w:val="22"/>
        </w:rPr>
        <w:t xml:space="preserve">odplatné činnosti poskytované iným subjektom. </w:t>
      </w:r>
    </w:p>
    <w:p w14:paraId="2138793B" w14:textId="32F48A28"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 xml:space="preserve">Cieľom </w:t>
      </w:r>
      <w:r w:rsidR="005D4F4A" w:rsidRPr="00E74D83">
        <w:rPr>
          <w:rFonts w:asciiTheme="minorHAnsi" w:hAnsiTheme="minorHAnsi" w:cstheme="minorHAnsi"/>
          <w:sz w:val="22"/>
        </w:rPr>
        <w:t xml:space="preserve">dokumentu </w:t>
      </w:r>
      <w:r w:rsidRPr="00E74D83">
        <w:rPr>
          <w:rFonts w:asciiTheme="minorHAnsi" w:hAnsiTheme="minorHAnsi" w:cstheme="minorHAnsi"/>
          <w:sz w:val="22"/>
        </w:rPr>
        <w:t>je úprava pravidiel pre hospodárske využitie infraštruktúry, ktorá prioritne slúži na</w:t>
      </w:r>
      <w:r w:rsidR="005D4F4A" w:rsidRPr="00E74D83">
        <w:rPr>
          <w:rFonts w:asciiTheme="minorHAnsi" w:hAnsiTheme="minorHAnsi" w:cstheme="minorHAnsi"/>
          <w:sz w:val="22"/>
        </w:rPr>
        <w:t> </w:t>
      </w:r>
      <w:r w:rsidRPr="00E74D83">
        <w:rPr>
          <w:rFonts w:asciiTheme="minorHAnsi" w:hAnsiTheme="minorHAnsi" w:cstheme="minorHAnsi"/>
          <w:sz w:val="22"/>
        </w:rPr>
        <w:t>nehospodárske účely v zmysle ods. 207 Oznámenia Komisie o pojme štátna pomoc uvedenom v odseku 107 ods. 1 Zmluvy o fungovaní Európskej únie (2016/C 262/01)</w:t>
      </w:r>
      <w:r w:rsidRPr="00E74D83">
        <w:rPr>
          <w:rStyle w:val="Odkaznapoznmkupodiarou"/>
          <w:rFonts w:asciiTheme="minorHAnsi" w:hAnsiTheme="minorHAnsi" w:cstheme="minorHAnsi"/>
          <w:sz w:val="22"/>
        </w:rPr>
        <w:footnoteReference w:id="1"/>
      </w:r>
      <w:r w:rsidRPr="00E74D83">
        <w:rPr>
          <w:rFonts w:asciiTheme="minorHAnsi" w:hAnsiTheme="minorHAnsi" w:cstheme="minorHAnsi"/>
          <w:sz w:val="22"/>
        </w:rPr>
        <w:t xml:space="preserve"> „</w:t>
      </w:r>
      <w:r w:rsidRPr="00E74D83">
        <w:rPr>
          <w:rFonts w:asciiTheme="minorHAnsi" w:hAnsiTheme="minorHAnsi" w:cstheme="minorHAnsi"/>
          <w:i/>
          <w:sz w:val="22"/>
        </w:rPr>
        <w:t>Ak sa v prípade zmiešaného použitia infraštruktúra využíva takmer výlučne na nehospodársku činnosť, Komisia sa domnieva, že jej financovanie ako celok môže patriť mimo rozsah pôsobnosti pravidiel štátnej pomoci, a to za predpokladu, že hospodárske využitie je čisto sprievodnou činnosťou, teda činnosťou, ktorá je priamo spojená s prevádzkou infraštruktúry a je pre ňu nevyhnutná alebo je neoddeliteľne spojená s jej hlavným nehospodárskym využitím. Za</w:t>
      </w:r>
      <w:r w:rsidR="00D924DD" w:rsidRPr="00E74D83">
        <w:rPr>
          <w:rFonts w:asciiTheme="minorHAnsi" w:hAnsiTheme="minorHAnsi" w:cstheme="minorHAnsi"/>
          <w:i/>
          <w:sz w:val="22"/>
        </w:rPr>
        <w:t> </w:t>
      </w:r>
      <w:r w:rsidRPr="00E74D83">
        <w:rPr>
          <w:rFonts w:asciiTheme="minorHAnsi" w:hAnsiTheme="minorHAnsi" w:cstheme="minorHAnsi"/>
          <w:i/>
          <w:sz w:val="22"/>
        </w:rPr>
        <w:t>takýto by sa mal považovať prípad, keď hospodárske činnosti spotrebúvajú tie isté vstupy ako základné nehospodárske činnosti, napríklad materiál, vybavenie, prácu alebo fixný kapitál. Sprievodné hospodárske činnosti musia mať vzhľadom na kapacitu infraštruktúry obmedzený rozsah</w:t>
      </w:r>
      <w:r w:rsidRPr="00E74D83">
        <w:rPr>
          <w:rStyle w:val="Odkaznapoznmkupodiarou"/>
          <w:rFonts w:asciiTheme="minorHAnsi" w:hAnsiTheme="minorHAnsi" w:cstheme="minorHAnsi"/>
          <w:i/>
          <w:sz w:val="22"/>
        </w:rPr>
        <w:footnoteReference w:id="2"/>
      </w:r>
      <w:r w:rsidRPr="00E74D83">
        <w:rPr>
          <w:rFonts w:asciiTheme="minorHAnsi" w:hAnsiTheme="minorHAnsi" w:cstheme="minorHAnsi"/>
          <w:i/>
          <w:sz w:val="22"/>
        </w:rPr>
        <w:t>. Ako príklad takýchto sprievodných hospodárskych činností možno uviesť výskumnú organizáciu, ktorá príležitostne prenajíma svoje zariadenia a laboratóriá priemyselným partnerom</w:t>
      </w:r>
      <w:r w:rsidRPr="00E74D83">
        <w:rPr>
          <w:rStyle w:val="Odkaznapoznmkupodiarou"/>
          <w:rFonts w:asciiTheme="minorHAnsi" w:hAnsiTheme="minorHAnsi" w:cstheme="minorHAnsi"/>
          <w:i/>
          <w:sz w:val="22"/>
        </w:rPr>
        <w:footnoteReference w:id="3"/>
      </w:r>
      <w:r w:rsidRPr="00E74D83">
        <w:rPr>
          <w:rFonts w:asciiTheme="minorHAnsi" w:hAnsiTheme="minorHAnsi" w:cstheme="minorHAnsi"/>
          <w:i/>
          <w:sz w:val="22"/>
        </w:rPr>
        <w:t>. Komisia sa takisto domnieva, že verejné financovanie poskytnuté na</w:t>
      </w:r>
      <w:r w:rsidR="00D924DD" w:rsidRPr="00E74D83">
        <w:rPr>
          <w:rFonts w:asciiTheme="minorHAnsi" w:hAnsiTheme="minorHAnsi" w:cstheme="minorHAnsi"/>
          <w:i/>
          <w:sz w:val="22"/>
        </w:rPr>
        <w:t> </w:t>
      </w:r>
      <w:r w:rsidRPr="00E74D83">
        <w:rPr>
          <w:rFonts w:asciiTheme="minorHAnsi" w:hAnsiTheme="minorHAnsi" w:cstheme="minorHAnsi"/>
          <w:i/>
          <w:sz w:val="22"/>
        </w:rPr>
        <w:t xml:space="preserve">obvyklé vybavenie (napr. reštaurácie, obchody alebo platené parkovanie) infraštruktúr, ktoré sa používajú takmer výlučne na nehospodársku činnosť, spravidla nemá žiaden vplyv na obchod medzi členskými štátmi, keďže nie je pravdepodobné, že by toto obvyklé vybavenie prilákalo zákazníkov z iných členských štátov, pričom nie je pravdepodobné, že ich financovanie má viac než len okrajový vplyv na cezhraničné investície alebo usádzanie sa“, </w:t>
      </w:r>
      <w:r w:rsidRPr="00E74D83">
        <w:rPr>
          <w:rFonts w:asciiTheme="minorHAnsi" w:hAnsiTheme="minorHAnsi" w:cstheme="minorHAnsi"/>
          <w:sz w:val="22"/>
        </w:rPr>
        <w:t xml:space="preserve">tak, aby bola verejná podpora v podobe NFP poskytnutá a využitá v súlade s existujúcou legislatívou upravujúcou štátnu pomoc. </w:t>
      </w:r>
    </w:p>
    <w:p w14:paraId="0E8F9E1C" w14:textId="77777777" w:rsidR="008E73CF" w:rsidRPr="00E74D83" w:rsidRDefault="008E73CF" w:rsidP="00E74D83">
      <w:pPr>
        <w:spacing w:before="120" w:line="259" w:lineRule="auto"/>
        <w:rPr>
          <w:rFonts w:asciiTheme="minorHAnsi" w:hAnsiTheme="minorHAnsi" w:cstheme="minorHAnsi"/>
          <w:sz w:val="22"/>
        </w:rPr>
      </w:pPr>
    </w:p>
    <w:p w14:paraId="36B14B33" w14:textId="77777777" w:rsidR="008E73CF" w:rsidRPr="00E74D83" w:rsidRDefault="008E73CF" w:rsidP="00444105">
      <w:pPr>
        <w:pStyle w:val="Nadpis1"/>
      </w:pPr>
      <w:bookmarkStart w:id="4" w:name="_Toc173163823"/>
      <w:r w:rsidRPr="00E74D83">
        <w:t>Doplnkové využitie infraštruktúry</w:t>
      </w:r>
      <w:bookmarkEnd w:id="4"/>
    </w:p>
    <w:p w14:paraId="4A9EB1C1" w14:textId="391DA677"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 xml:space="preserve">V zmysle pravidiel EK týkajúcich sa štátnej pomoci sa na nehospodárske činnosti financované úplne alebo čiastočne z verejných zdrojov </w:t>
      </w:r>
      <w:r w:rsidRPr="00E74D83">
        <w:rPr>
          <w:rFonts w:asciiTheme="minorHAnsi" w:hAnsiTheme="minorHAnsi" w:cstheme="minorHAnsi"/>
          <w:b/>
          <w:sz w:val="22"/>
        </w:rPr>
        <w:t>nevzťahujú pravidlá štátnej pomoci</w:t>
      </w:r>
      <w:r w:rsidRPr="00E74D83">
        <w:rPr>
          <w:rFonts w:asciiTheme="minorHAnsi" w:hAnsiTheme="minorHAnsi" w:cstheme="minorHAnsi"/>
          <w:sz w:val="22"/>
        </w:rPr>
        <w:t>. Pri niektorých konkrétnych prípadoch nie je možné vylúčiť, že sa na podporenej infraštruktúre, ktorá má prioritne slúžiť na</w:t>
      </w:r>
      <w:r w:rsidR="00D924DD" w:rsidRPr="00E74D83">
        <w:rPr>
          <w:rFonts w:asciiTheme="minorHAnsi" w:hAnsiTheme="minorHAnsi" w:cstheme="minorHAnsi"/>
          <w:sz w:val="22"/>
        </w:rPr>
        <w:t> </w:t>
      </w:r>
      <w:r w:rsidRPr="00E74D83">
        <w:rPr>
          <w:rFonts w:asciiTheme="minorHAnsi" w:hAnsiTheme="minorHAnsi" w:cstheme="minorHAnsi"/>
          <w:sz w:val="22"/>
        </w:rPr>
        <w:t xml:space="preserve">nehospodárske činnosti, nebudú ako sprievodné aktivity poskytovať aj hospodárske činnosti, napr. poskytnutie priestorov za trhové podmienky, ktoré poskytuje prijímateľ prostredníctvom verejne podporenej infraštruktúry. Za dodržania stanovených princípov sa na takéto činnosti nemusia vzťahovať pravidlá štátnej pomoci. </w:t>
      </w:r>
    </w:p>
    <w:p w14:paraId="451604DE" w14:textId="77777777"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 xml:space="preserve">Ide o tzv. </w:t>
      </w:r>
      <w:r w:rsidRPr="00E74D83">
        <w:rPr>
          <w:rFonts w:asciiTheme="minorHAnsi" w:hAnsiTheme="minorHAnsi" w:cstheme="minorHAnsi"/>
          <w:b/>
          <w:sz w:val="22"/>
        </w:rPr>
        <w:t>doplnkové využitie</w:t>
      </w:r>
      <w:r w:rsidRPr="00E74D83">
        <w:rPr>
          <w:rFonts w:asciiTheme="minorHAnsi" w:hAnsiTheme="minorHAnsi" w:cstheme="minorHAnsi"/>
          <w:sz w:val="22"/>
        </w:rPr>
        <w:t xml:space="preserve"> na nehospodárske aktivity určenej </w:t>
      </w:r>
      <w:r w:rsidRPr="00E74D83">
        <w:rPr>
          <w:rFonts w:asciiTheme="minorHAnsi" w:hAnsiTheme="minorHAnsi" w:cstheme="minorHAnsi"/>
          <w:b/>
          <w:sz w:val="22"/>
        </w:rPr>
        <w:t>infraštruktúry</w:t>
      </w:r>
      <w:r w:rsidRPr="00E74D83">
        <w:rPr>
          <w:rFonts w:asciiTheme="minorHAnsi" w:hAnsiTheme="minorHAnsi" w:cstheme="minorHAnsi"/>
          <w:sz w:val="22"/>
        </w:rPr>
        <w:t xml:space="preserve"> i na hospodárske aktivity. </w:t>
      </w:r>
    </w:p>
    <w:p w14:paraId="78C5849F" w14:textId="1827F200"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 xml:space="preserve">Koncept bol pôvodne používaný pri výskumnej infraštruktúre v rámci pravidiel regulujúcich štátnu pomoc v oblasti výskumu, vývoja a inovácií. Definovaný je v oznámení Komisie - Rámec pre štátnu pomoc na výskum, vývoj a inovácie (2014/C 198/1), ods. 15 písm. </w:t>
      </w:r>
      <w:proofErr w:type="spellStart"/>
      <w:r w:rsidRPr="00E74D83">
        <w:rPr>
          <w:rFonts w:asciiTheme="minorHAnsi" w:hAnsiTheme="minorHAnsi" w:cstheme="minorHAnsi"/>
          <w:sz w:val="22"/>
        </w:rPr>
        <w:t>ff</w:t>
      </w:r>
      <w:proofErr w:type="spellEnd"/>
      <w:r w:rsidRPr="00E74D83">
        <w:rPr>
          <w:rFonts w:asciiTheme="minorHAnsi" w:hAnsiTheme="minorHAnsi" w:cstheme="minorHAnsi"/>
          <w:sz w:val="22"/>
        </w:rPr>
        <w:t xml:space="preserve">) </w:t>
      </w:r>
      <w:r w:rsidRPr="00E74D83">
        <w:rPr>
          <w:rFonts w:asciiTheme="minorHAnsi" w:hAnsiTheme="minorHAnsi" w:cstheme="minorHAnsi"/>
          <w:b/>
          <w:i/>
          <w:sz w:val="22"/>
        </w:rPr>
        <w:t>„výskumná infraštruktúra:</w:t>
      </w:r>
      <w:r w:rsidRPr="00E74D83">
        <w:rPr>
          <w:rFonts w:asciiTheme="minorHAnsi" w:hAnsiTheme="minorHAnsi" w:cstheme="minorHAnsi"/>
          <w:i/>
          <w:sz w:val="22"/>
        </w:rPr>
        <w:t xml:space="preserve"> sú </w:t>
      </w:r>
      <w:r w:rsidRPr="00E74D83">
        <w:rPr>
          <w:rFonts w:asciiTheme="minorHAnsi" w:hAnsiTheme="minorHAnsi" w:cstheme="minorHAnsi"/>
          <w:i/>
          <w:sz w:val="22"/>
        </w:rPr>
        <w:lastRenderedPageBreak/>
        <w:t>zariadenia, zdroje a súvisiace služby, ktoré využíva vedecká komunita na uskutočňovanie výskumu vo svojich príslušných odboroch; toto vymedzenie zahŕňa vedecké vybavenie alebo súbory nástrojov, zdroje založené na</w:t>
      </w:r>
      <w:r w:rsidR="00D924DD" w:rsidRPr="00E74D83">
        <w:rPr>
          <w:rFonts w:asciiTheme="minorHAnsi" w:hAnsiTheme="minorHAnsi" w:cstheme="minorHAnsi"/>
          <w:i/>
          <w:sz w:val="22"/>
        </w:rPr>
        <w:t> </w:t>
      </w:r>
      <w:r w:rsidRPr="00E74D83">
        <w:rPr>
          <w:rFonts w:asciiTheme="minorHAnsi" w:hAnsiTheme="minorHAnsi" w:cstheme="minorHAnsi"/>
          <w:i/>
          <w:sz w:val="22"/>
        </w:rPr>
        <w:t>poznatkoch, akými sú zbierky, archívy alebo štruktúrované vedecké informácie, ktoré umožňujú také infraštruktúry založené na informačných a komunikačných technológiách, ako sú siete GRID, výpočtová technika, softvér a komunikácie, alebo akýkoľvek iný subjekt jedinečnej povahy, ktorý je podstatný pre uskutočňovanie výskumu. Takéto infraštruktúry môžu byť sústredené na jednom mieste alebo „distribuované“ (organizovaná sieť zdrojov)</w:t>
      </w:r>
      <w:r w:rsidRPr="00E74D83">
        <w:rPr>
          <w:rStyle w:val="Odkaznapoznmkupodiarou"/>
          <w:rFonts w:asciiTheme="minorHAnsi" w:hAnsiTheme="minorHAnsi" w:cstheme="minorHAnsi"/>
          <w:i/>
          <w:sz w:val="22"/>
        </w:rPr>
        <w:footnoteReference w:id="4"/>
      </w:r>
      <w:r w:rsidRPr="00E74D83">
        <w:rPr>
          <w:rFonts w:asciiTheme="minorHAnsi" w:hAnsiTheme="minorHAnsi" w:cstheme="minorHAnsi"/>
          <w:i/>
          <w:sz w:val="22"/>
        </w:rPr>
        <w:t xml:space="preserve">, </w:t>
      </w:r>
      <w:r w:rsidRPr="00E74D83">
        <w:rPr>
          <w:rFonts w:asciiTheme="minorHAnsi" w:hAnsiTheme="minorHAnsi" w:cstheme="minorHAnsi"/>
          <w:sz w:val="22"/>
        </w:rPr>
        <w:t xml:space="preserve">ktoré vstúpilo do platnosti 1. júla 2014. Ak sa výskumná organizácia alebo výskumná infraštruktúra využíva takmer výlučne na nehospodársku činnosť, na jej financovanie ako také sa nemusia vzťahovať pravidlá štátnej pomoci za predpokladu, že jej hospodárske využitie zostáva čisto vedľajšie, tzn. že ide o činnosť, ktorá je priamo spojená s prevádzkou výskumnej organizácie alebo výskumnej infraštruktúry a je pre ňu nevyhnutná alebo je neoddeliteľne previazaná s hlavným využitím na činnosti nehospodárskeho charakteru a jej rozsah je obmedzený. Na účely tohto rámca bude podľa </w:t>
      </w:r>
      <w:r w:rsidR="00D924DD" w:rsidRPr="00E74D83">
        <w:rPr>
          <w:rFonts w:asciiTheme="minorHAnsi" w:hAnsiTheme="minorHAnsi" w:cstheme="minorHAnsi"/>
          <w:sz w:val="22"/>
        </w:rPr>
        <w:t>EK</w:t>
      </w:r>
      <w:r w:rsidRPr="00E74D83">
        <w:rPr>
          <w:rFonts w:asciiTheme="minorHAnsi" w:hAnsiTheme="minorHAnsi" w:cstheme="minorHAnsi"/>
          <w:sz w:val="22"/>
        </w:rPr>
        <w:t xml:space="preserve"> táto podmienka splnená v prípade, že na hospodárske činnosti sa budú spotrebúvať presne tie isté vstupy (napríklad materiál, zariadenia, pracovná sila a fixný kapitál) ako na nehospodárske činnosti, a v prípade, že kapacita pridelená každoročne na takéto hospodárske činnosti </w:t>
      </w:r>
      <w:r w:rsidRPr="00E74D83">
        <w:rPr>
          <w:rFonts w:asciiTheme="minorHAnsi" w:hAnsiTheme="minorHAnsi" w:cstheme="minorHAnsi"/>
          <w:b/>
          <w:sz w:val="22"/>
        </w:rPr>
        <w:t>nepresiahne 20 % celkovej ročnej kapacity príslušného subjektu.</w:t>
      </w:r>
    </w:p>
    <w:p w14:paraId="4C7DCF02" w14:textId="16C28A24"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 xml:space="preserve">Tento koncept rozšírila </w:t>
      </w:r>
      <w:r w:rsidR="00D924DD" w:rsidRPr="00E74D83">
        <w:rPr>
          <w:rFonts w:asciiTheme="minorHAnsi" w:hAnsiTheme="minorHAnsi" w:cstheme="minorHAnsi"/>
          <w:sz w:val="22"/>
        </w:rPr>
        <w:t>EK</w:t>
      </w:r>
      <w:r w:rsidRPr="00E74D83">
        <w:rPr>
          <w:rFonts w:asciiTheme="minorHAnsi" w:hAnsiTheme="minorHAnsi" w:cstheme="minorHAnsi"/>
          <w:sz w:val="22"/>
        </w:rPr>
        <w:t xml:space="preserve"> v ods. 207 Oznámenia Komisie o pojme štátna pomoc uvedenom v odseku 107 ods. 1 Zmluvy o fungovaní Európskej únie (2016/C 262/01) všeobecne na akúkoľvek infraštruktúru. Podľa tohto odseku “</w:t>
      </w:r>
      <w:r w:rsidRPr="00E74D83">
        <w:rPr>
          <w:rFonts w:asciiTheme="minorHAnsi" w:hAnsiTheme="minorHAnsi" w:cstheme="minorHAnsi"/>
          <w:i/>
          <w:sz w:val="22"/>
        </w:rPr>
        <w:t>ak sa v prípade zmiešaného použitia infraštruktúra využíva takmer výlučne na nehospodársku činnosť, Komisia sa domnieva, že jej financovanie ako celok môže patriť mimo rozsah pôsobnosti pravidiel štátnej pomoci, a to za predpokladu, že hospodárske využitie je čisto sprievodnou činnosťou, teda činnosťou, ktorá je priamo spojená s prevádzkou infraštruktúry a je pre ňu nevyhnutná alebo je neoddeliteľne spojená s jej hlavným nehospodárskym využitím. Za takýto by sa mal považovať prípad, keď hospodárske činnosti spotrebúvajú tie isté vstupy ako základné nehospodárske činnosti, napríklad materiál, vybavenie, prácu alebo fixný kapitál. Sprievodné hospodárske činnosti musia mať vzhľadom na kapacitu infraštruktúry obmedzený rozsah</w:t>
      </w:r>
      <w:r w:rsidRPr="00E74D83">
        <w:rPr>
          <w:rFonts w:asciiTheme="minorHAnsi" w:hAnsiTheme="minorHAnsi" w:cstheme="minorHAnsi"/>
          <w:sz w:val="22"/>
        </w:rPr>
        <w:t>.”</w:t>
      </w:r>
      <w:r w:rsidRPr="00E74D83">
        <w:rPr>
          <w:rStyle w:val="Odkaznapoznmkupodiarou"/>
          <w:rFonts w:asciiTheme="minorHAnsi" w:hAnsiTheme="minorHAnsi" w:cstheme="minorHAnsi"/>
          <w:sz w:val="22"/>
        </w:rPr>
        <w:footnoteReference w:id="5"/>
      </w:r>
    </w:p>
    <w:p w14:paraId="117B5453" w14:textId="77777777"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Na to, aby sa na takéto využitie infraštruktúry nevzťahovali pravidlá štátnej pomoci, t. j. aby išlo o doplnkové využitie infraštruktúry, musia byť splnené tieto podmienky:</w:t>
      </w:r>
    </w:p>
    <w:p w14:paraId="435EAA67" w14:textId="77777777" w:rsidR="008E73CF" w:rsidRPr="00E74D83" w:rsidRDefault="008E73CF" w:rsidP="00E74D83">
      <w:pPr>
        <w:pStyle w:val="Odsekzoznamu"/>
        <w:numPr>
          <w:ilvl w:val="0"/>
          <w:numId w:val="3"/>
        </w:numPr>
        <w:spacing w:before="120" w:line="259" w:lineRule="auto"/>
        <w:ind w:left="425" w:hanging="425"/>
        <w:contextualSpacing w:val="0"/>
        <w:rPr>
          <w:rFonts w:asciiTheme="minorHAnsi" w:hAnsiTheme="minorHAnsi" w:cstheme="minorHAnsi"/>
          <w:sz w:val="22"/>
        </w:rPr>
      </w:pPr>
      <w:r w:rsidRPr="00E74D83">
        <w:rPr>
          <w:rFonts w:asciiTheme="minorHAnsi" w:hAnsiTheme="minorHAnsi" w:cstheme="minorHAnsi"/>
          <w:sz w:val="22"/>
        </w:rPr>
        <w:t xml:space="preserve">infraštruktúra využívaná takmer výlučne na nehospodársku činnosť a hospodárske využitie môže byť iba čisto </w:t>
      </w:r>
      <w:r w:rsidRPr="00E74D83">
        <w:rPr>
          <w:rFonts w:asciiTheme="minorHAnsi" w:hAnsiTheme="minorHAnsi" w:cstheme="minorHAnsi"/>
          <w:b/>
          <w:sz w:val="22"/>
        </w:rPr>
        <w:t>sprievodnou činnosťou</w:t>
      </w:r>
      <w:r w:rsidRPr="00E74D83">
        <w:rPr>
          <w:rFonts w:asciiTheme="minorHAnsi" w:hAnsiTheme="minorHAnsi" w:cstheme="minorHAnsi"/>
          <w:sz w:val="22"/>
        </w:rPr>
        <w:t xml:space="preserve"> </w:t>
      </w:r>
      <w:r w:rsidRPr="00E74D83">
        <w:rPr>
          <w:rFonts w:asciiTheme="minorHAnsi" w:hAnsiTheme="minorHAnsi" w:cstheme="minorHAnsi"/>
          <w:b/>
          <w:sz w:val="22"/>
        </w:rPr>
        <w:t>a</w:t>
      </w:r>
      <w:r w:rsidRPr="00E74D83">
        <w:rPr>
          <w:rFonts w:asciiTheme="minorHAnsi" w:hAnsiTheme="minorHAnsi" w:cstheme="minorHAnsi"/>
          <w:sz w:val="22"/>
        </w:rPr>
        <w:t xml:space="preserve"> zároveň mať vzhľadom na kapacitu infraštruktúry </w:t>
      </w:r>
      <w:r w:rsidRPr="00E74D83">
        <w:rPr>
          <w:rFonts w:asciiTheme="minorHAnsi" w:hAnsiTheme="minorHAnsi" w:cstheme="minorHAnsi"/>
          <w:b/>
          <w:sz w:val="22"/>
        </w:rPr>
        <w:t>obmedzený rozsah</w:t>
      </w:r>
      <w:r w:rsidRPr="00E74D83">
        <w:rPr>
          <w:rFonts w:asciiTheme="minorHAnsi" w:hAnsiTheme="minorHAnsi" w:cstheme="minorHAnsi"/>
          <w:sz w:val="22"/>
        </w:rPr>
        <w:t xml:space="preserve"> a</w:t>
      </w:r>
    </w:p>
    <w:p w14:paraId="21BBF861" w14:textId="77777777" w:rsidR="008E73CF" w:rsidRPr="00E74D83" w:rsidRDefault="008E73CF" w:rsidP="00E74D83">
      <w:pPr>
        <w:pStyle w:val="Odsekzoznamu"/>
        <w:numPr>
          <w:ilvl w:val="0"/>
          <w:numId w:val="3"/>
        </w:numPr>
        <w:spacing w:before="120" w:line="259" w:lineRule="auto"/>
        <w:ind w:left="426" w:hanging="426"/>
        <w:rPr>
          <w:rFonts w:asciiTheme="minorHAnsi" w:hAnsiTheme="minorHAnsi" w:cstheme="minorHAnsi"/>
          <w:sz w:val="22"/>
        </w:rPr>
      </w:pPr>
      <w:r w:rsidRPr="00E74D83">
        <w:rPr>
          <w:rFonts w:asciiTheme="minorHAnsi" w:hAnsiTheme="minorHAnsi" w:cstheme="minorHAnsi"/>
          <w:sz w:val="22"/>
        </w:rPr>
        <w:t>hospodárska činnosť priamo spojená s prevádzkou infraštruktúry a byť pre ňu nevyhnutná alebo neoddeliteľne spojená s jej hlavným nehospodárskym využitím, pričom sa spotrebúvajú tie isté vstupy ako na základné nehospodárske činnosti, napríklad materiál, vybavenie, práca alebo fixný kapitál.</w:t>
      </w:r>
    </w:p>
    <w:p w14:paraId="4334553D" w14:textId="77777777"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 xml:space="preserve">Ak hospodárske činnosti, vykonávané na podporenej infraštruktúre počas doby odpisovania podporenej infraštruktúry prestanú mať len sprievodný charakter, tak aj sekundárne hospodárske činnosti môžu podliehať pravidlám štátnej pomoci. </w:t>
      </w:r>
    </w:p>
    <w:p w14:paraId="49B6E13F" w14:textId="77777777" w:rsidR="008E73CF" w:rsidRPr="00E74D83" w:rsidRDefault="008E73CF" w:rsidP="00E74D83">
      <w:pPr>
        <w:spacing w:before="120" w:line="259" w:lineRule="auto"/>
        <w:rPr>
          <w:rFonts w:asciiTheme="minorHAnsi" w:hAnsiTheme="minorHAnsi" w:cstheme="minorHAnsi"/>
          <w:b/>
          <w:sz w:val="22"/>
        </w:rPr>
      </w:pPr>
      <w:r w:rsidRPr="00E74D83">
        <w:rPr>
          <w:rFonts w:asciiTheme="minorHAnsi" w:hAnsiTheme="minorHAnsi" w:cstheme="minorHAnsi"/>
          <w:b/>
          <w:sz w:val="22"/>
        </w:rPr>
        <w:lastRenderedPageBreak/>
        <w:t xml:space="preserve">Hospodárske využitie infraštruktúry možno považovať za vedľajšie (sprievodné), ak kapacita vyčlenená každý rok na túto činnosť </w:t>
      </w:r>
      <w:r w:rsidRPr="00E74D83">
        <w:rPr>
          <w:rFonts w:asciiTheme="minorHAnsi" w:hAnsiTheme="minorHAnsi" w:cstheme="minorHAnsi"/>
          <w:b/>
          <w:sz w:val="22"/>
          <w:u w:val="single"/>
        </w:rPr>
        <w:t>neprekračuje 20 % celkovej ročnej kapacity infraštruktúry</w:t>
      </w:r>
      <w:r w:rsidRPr="00E74D83">
        <w:rPr>
          <w:rFonts w:asciiTheme="minorHAnsi" w:hAnsiTheme="minorHAnsi" w:cstheme="minorHAnsi"/>
          <w:b/>
          <w:sz w:val="22"/>
        </w:rPr>
        <w:t>.</w:t>
      </w:r>
    </w:p>
    <w:p w14:paraId="4220CD1C" w14:textId="77777777" w:rsidR="00FB5C41" w:rsidRPr="00E74D83" w:rsidRDefault="00FB5C41" w:rsidP="00E74D83">
      <w:pPr>
        <w:spacing w:before="120" w:line="259" w:lineRule="auto"/>
        <w:rPr>
          <w:rFonts w:asciiTheme="minorHAnsi" w:hAnsiTheme="minorHAnsi" w:cstheme="minorHAnsi"/>
          <w:b/>
          <w:sz w:val="22"/>
        </w:rPr>
      </w:pPr>
    </w:p>
    <w:p w14:paraId="7F697B6B" w14:textId="77777777" w:rsidR="008E73CF" w:rsidRPr="00E74D83" w:rsidRDefault="008E73CF" w:rsidP="00444105">
      <w:pPr>
        <w:pStyle w:val="Nadpis1"/>
      </w:pPr>
      <w:bookmarkStart w:id="5" w:name="_Toc173163824"/>
      <w:r w:rsidRPr="00E74D83">
        <w:t>Príklady hospodárskych aktivít</w:t>
      </w:r>
      <w:bookmarkEnd w:id="5"/>
      <w:r w:rsidRPr="00E74D83">
        <w:t xml:space="preserve"> </w:t>
      </w:r>
    </w:p>
    <w:p w14:paraId="0CB0A652" w14:textId="3A65F942" w:rsidR="008E73CF" w:rsidRPr="00E74D83" w:rsidRDefault="0069296A" w:rsidP="00E74D83">
      <w:pPr>
        <w:spacing w:before="120" w:line="259" w:lineRule="auto"/>
        <w:rPr>
          <w:rFonts w:asciiTheme="minorHAnsi" w:hAnsiTheme="minorHAnsi" w:cstheme="minorHAnsi"/>
          <w:sz w:val="22"/>
        </w:rPr>
      </w:pPr>
      <w:r>
        <w:rPr>
          <w:rFonts w:asciiTheme="minorHAnsi" w:hAnsiTheme="minorHAnsi" w:cstheme="minorHAnsi"/>
          <w:sz w:val="22"/>
        </w:rPr>
        <w:t>SO</w:t>
      </w:r>
      <w:r w:rsidR="008E73CF" w:rsidRPr="00E74D83">
        <w:rPr>
          <w:rFonts w:asciiTheme="minorHAnsi" w:hAnsiTheme="minorHAnsi" w:cstheme="minorHAnsi"/>
          <w:sz w:val="22"/>
        </w:rPr>
        <w:t xml:space="preserve"> odporúča prijímateľom vo všetkých prípadoch, kedy majú záujem hospodársky využívať podporenú infraštruktúru, vopred sa obrátiť na </w:t>
      </w:r>
      <w:r>
        <w:rPr>
          <w:rFonts w:asciiTheme="minorHAnsi" w:hAnsiTheme="minorHAnsi" w:cstheme="minorHAnsi"/>
          <w:sz w:val="22"/>
        </w:rPr>
        <w:t>SO</w:t>
      </w:r>
      <w:r w:rsidR="008E73CF" w:rsidRPr="00E74D83">
        <w:rPr>
          <w:rFonts w:asciiTheme="minorHAnsi" w:hAnsiTheme="minorHAnsi" w:cstheme="minorHAnsi"/>
          <w:sz w:val="22"/>
        </w:rPr>
        <w:t xml:space="preserve">, ktorý posúdi jej doplnkové využite. </w:t>
      </w:r>
      <w:r w:rsidR="00FB5C41" w:rsidRPr="00E74D83">
        <w:rPr>
          <w:rFonts w:asciiTheme="minorHAnsi" w:hAnsiTheme="minorHAnsi" w:cstheme="minorHAnsi"/>
          <w:sz w:val="22"/>
        </w:rPr>
        <w:t xml:space="preserve"> </w:t>
      </w:r>
    </w:p>
    <w:p w14:paraId="6FE9415F" w14:textId="77777777" w:rsidR="008E73CF" w:rsidRPr="00E74D83" w:rsidRDefault="008E73CF" w:rsidP="00E74D83">
      <w:pPr>
        <w:spacing w:before="120" w:line="259" w:lineRule="auto"/>
        <w:rPr>
          <w:rFonts w:asciiTheme="minorHAnsi" w:hAnsiTheme="minorHAnsi" w:cstheme="minorHAnsi"/>
          <w:sz w:val="22"/>
        </w:rPr>
      </w:pPr>
    </w:p>
    <w:p w14:paraId="627DD272" w14:textId="77777777" w:rsidR="008E73CF" w:rsidRPr="00E74D83" w:rsidRDefault="008E73CF" w:rsidP="00E74D83">
      <w:pPr>
        <w:spacing w:before="120" w:line="259" w:lineRule="auto"/>
        <w:rPr>
          <w:rFonts w:asciiTheme="minorHAnsi" w:hAnsiTheme="minorHAnsi" w:cstheme="minorHAnsi"/>
          <w:b/>
          <w:sz w:val="22"/>
        </w:rPr>
      </w:pPr>
      <w:r w:rsidRPr="00E74D83">
        <w:rPr>
          <w:rFonts w:asciiTheme="minorHAnsi" w:hAnsiTheme="minorHAnsi" w:cstheme="minorHAnsi"/>
          <w:b/>
          <w:sz w:val="22"/>
        </w:rPr>
        <w:t>Schéma č. 1 Príklady doplnkového využitia infraštruktúry</w:t>
      </w:r>
    </w:p>
    <w:p w14:paraId="0FFF3FDA" w14:textId="77777777"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noProof/>
          <w:sz w:val="22"/>
          <w:lang w:eastAsia="sk-SK"/>
        </w:rPr>
        <mc:AlternateContent>
          <mc:Choice Requires="wps">
            <w:drawing>
              <wp:anchor distT="0" distB="0" distL="114300" distR="114300" simplePos="0" relativeHeight="251659264" behindDoc="0" locked="0" layoutInCell="1" allowOverlap="1" wp14:anchorId="51B5FCF9" wp14:editId="4DB6C8CE">
                <wp:simplePos x="0" y="0"/>
                <wp:positionH relativeFrom="column">
                  <wp:posOffset>278296</wp:posOffset>
                </wp:positionH>
                <wp:positionV relativeFrom="paragraph">
                  <wp:posOffset>198865</wp:posOffset>
                </wp:positionV>
                <wp:extent cx="5120640" cy="516835"/>
                <wp:effectExtent l="0" t="0" r="22860" b="17145"/>
                <wp:wrapNone/>
                <wp:docPr id="8" name="Zaoblený obdĺžnik 8"/>
                <wp:cNvGraphicFramePr/>
                <a:graphic xmlns:a="http://schemas.openxmlformats.org/drawingml/2006/main">
                  <a:graphicData uri="http://schemas.microsoft.com/office/word/2010/wordprocessingShape">
                    <wps:wsp>
                      <wps:cNvSpPr/>
                      <wps:spPr>
                        <a:xfrm>
                          <a:off x="0" y="0"/>
                          <a:ext cx="5120640" cy="516835"/>
                        </a:xfrm>
                        <a:prstGeom prst="roundRect">
                          <a:avLst/>
                        </a:prstGeom>
                        <a:solidFill>
                          <a:schemeClr val="accent2">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BC99FA8" w14:textId="77777777" w:rsidR="008E73CF" w:rsidRPr="00FB5C41" w:rsidRDefault="008E73CF" w:rsidP="008E73CF">
                            <w:pPr>
                              <w:spacing w:after="0"/>
                              <w:jc w:val="center"/>
                              <w:rPr>
                                <w:b/>
                                <w:color w:val="000000" w:themeColor="text1"/>
                                <w:szCs w:val="18"/>
                              </w:rPr>
                            </w:pPr>
                            <w:r w:rsidRPr="00FB5C41">
                              <w:rPr>
                                <w:b/>
                                <w:color w:val="000000" w:themeColor="text1"/>
                                <w:szCs w:val="18"/>
                              </w:rPr>
                              <w:t xml:space="preserve">Nehospodárska činnosť prijímateľa, </w:t>
                            </w:r>
                          </w:p>
                          <w:p w14:paraId="60FED7CE" w14:textId="77777777" w:rsidR="008E73CF" w:rsidRPr="00FB5C41" w:rsidRDefault="008E73CF" w:rsidP="008E73CF">
                            <w:pPr>
                              <w:jc w:val="center"/>
                              <w:rPr>
                                <w:b/>
                                <w:color w:val="000000" w:themeColor="text1"/>
                              </w:rPr>
                            </w:pPr>
                            <w:r w:rsidRPr="00FB5C41">
                              <w:rPr>
                                <w:b/>
                                <w:color w:val="000000" w:themeColor="text1"/>
                                <w:szCs w:val="18"/>
                              </w:rPr>
                              <w:t xml:space="preserve">ktorého podpora nepodlieha pravidlám </w:t>
                            </w:r>
                            <w:r w:rsidR="00FB5C41">
                              <w:rPr>
                                <w:b/>
                                <w:color w:val="000000" w:themeColor="text1"/>
                                <w:szCs w:val="18"/>
                              </w:rPr>
                              <w:t>štátnej pomoci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1B5FCF9" id="Zaoblený obdĺžnik 8" o:spid="_x0000_s1027" style="position:absolute;left:0;text-align:left;margin-left:21.9pt;margin-top:15.65pt;width:403.2pt;height:40.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" fillcolor="#c45911 [2405]" strokecolor="#1f4d78 [1604]" strokeweight="1pt">
                <v:stroke joinstyle="miter"/>
                <v:textbox>
                  <w:txbxContent>
                    <w:p w14:paraId="5BC99FA8" w14:textId="77777777" w:rsidR="008E73CF" w:rsidRPr="00FB5C41" w:rsidRDefault="008E73CF" w:rsidP="008E73CF">
                      <w:pPr>
                        <w:spacing w:after="0"/>
                        <w:jc w:val="center"/>
                        <w:rPr>
                          <w:b/>
                          <w:color w:val="000000" w:themeColor="text1"/>
                          <w:szCs w:val="18"/>
                        </w:rPr>
                      </w:pPr>
                      <w:r w:rsidRPr="00FB5C41">
                        <w:rPr>
                          <w:b/>
                          <w:color w:val="000000" w:themeColor="text1"/>
                          <w:szCs w:val="18"/>
                        </w:rPr>
                        <w:t xml:space="preserve">Nehospodárska činnosť prijímateľa, </w:t>
                      </w:r>
                    </w:p>
                    <w:p w14:paraId="60FED7CE" w14:textId="77777777" w:rsidR="008E73CF" w:rsidRPr="00FB5C41" w:rsidRDefault="008E73CF" w:rsidP="008E73CF">
                      <w:pPr>
                        <w:jc w:val="center"/>
                        <w:rPr>
                          <w:b/>
                          <w:color w:val="000000" w:themeColor="text1"/>
                        </w:rPr>
                      </w:pPr>
                      <w:r w:rsidRPr="00FB5C41">
                        <w:rPr>
                          <w:b/>
                          <w:color w:val="000000" w:themeColor="text1"/>
                          <w:szCs w:val="18"/>
                        </w:rPr>
                        <w:t xml:space="preserve">ktorého podpora nepodlieha pravidlám </w:t>
                      </w:r>
                      <w:r w:rsidR="00FB5C41">
                        <w:rPr>
                          <w:b/>
                          <w:color w:val="000000" w:themeColor="text1"/>
                          <w:szCs w:val="18"/>
                        </w:rPr>
                        <w:t>štátnej pomoci</w:t>
                      </w:r>
                    </w:p>
                  </w:txbxContent>
                </v:textbox>
              </v:roundrect>
            </w:pict>
          </mc:Fallback>
        </mc:AlternateContent>
      </w:r>
    </w:p>
    <w:p w14:paraId="4E4138E7" w14:textId="77777777" w:rsidR="008E73CF" w:rsidRPr="00E74D83" w:rsidRDefault="008E73CF" w:rsidP="00E74D83">
      <w:pPr>
        <w:spacing w:before="120" w:line="259" w:lineRule="auto"/>
        <w:rPr>
          <w:rFonts w:asciiTheme="minorHAnsi" w:hAnsiTheme="minorHAnsi" w:cstheme="minorHAnsi"/>
          <w:sz w:val="22"/>
        </w:rPr>
      </w:pPr>
    </w:p>
    <w:p w14:paraId="3730E44A"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69B2B3B6"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r w:rsidRPr="00E74D83">
        <w:rPr>
          <w:rFonts w:asciiTheme="minorHAnsi" w:hAnsiTheme="minorHAnsi" w:cstheme="minorHAnsi"/>
          <w:b/>
          <w:bCs/>
          <w:noProof/>
          <w:sz w:val="22"/>
          <w:lang w:eastAsia="sk-SK"/>
        </w:rPr>
        <mc:AlternateContent>
          <mc:Choice Requires="wps">
            <w:drawing>
              <wp:anchor distT="0" distB="0" distL="114300" distR="114300" simplePos="0" relativeHeight="251666432" behindDoc="0" locked="0" layoutInCell="1" allowOverlap="1" wp14:anchorId="78425356" wp14:editId="2383F58B">
                <wp:simplePos x="0" y="0"/>
                <wp:positionH relativeFrom="margin">
                  <wp:align>center</wp:align>
                </wp:positionH>
                <wp:positionV relativeFrom="paragraph">
                  <wp:posOffset>108585</wp:posOffset>
                </wp:positionV>
                <wp:extent cx="190500" cy="930303"/>
                <wp:effectExtent l="19050" t="0" r="19050" b="41275"/>
                <wp:wrapNone/>
                <wp:docPr id="16" name="Šípka nadol 16"/>
                <wp:cNvGraphicFramePr/>
                <a:graphic xmlns:a="http://schemas.openxmlformats.org/drawingml/2006/main">
                  <a:graphicData uri="http://schemas.microsoft.com/office/word/2010/wordprocessingShape">
                    <wps:wsp>
                      <wps:cNvSpPr/>
                      <wps:spPr>
                        <a:xfrm>
                          <a:off x="0" y="0"/>
                          <a:ext cx="190500" cy="930303"/>
                        </a:xfrm>
                        <a:prstGeom prst="down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F1AF816"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Šípka nadol 16" o:spid="_x0000_s1026" type="#_x0000_t67" style="position:absolute;margin-left:0;margin-top:8.55pt;width:15pt;height:73.25pt;z-index:25166643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" adj="19388" fillcolor="red" strokecolor="#1f4d78 [1604]" strokeweight="1pt">
                <w10:wrap anchorx="margin"/>
              </v:shape>
            </w:pict>
          </mc:Fallback>
        </mc:AlternateContent>
      </w:r>
    </w:p>
    <w:p w14:paraId="07A53C3D"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6904B1F2"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r w:rsidRPr="00E74D83">
        <w:rPr>
          <w:rFonts w:asciiTheme="minorHAnsi" w:hAnsiTheme="minorHAnsi" w:cstheme="minorHAnsi"/>
          <w:noProof/>
          <w:sz w:val="22"/>
          <w:lang w:eastAsia="sk-SK"/>
        </w:rPr>
        <mc:AlternateContent>
          <mc:Choice Requires="wps">
            <w:drawing>
              <wp:anchor distT="0" distB="0" distL="114300" distR="114300" simplePos="0" relativeHeight="251661312" behindDoc="0" locked="0" layoutInCell="1" allowOverlap="1" wp14:anchorId="186F8D2C" wp14:editId="0A8782E4">
                <wp:simplePos x="0" y="0"/>
                <wp:positionH relativeFrom="column">
                  <wp:posOffset>3959750</wp:posOffset>
                </wp:positionH>
                <wp:positionV relativeFrom="paragraph">
                  <wp:posOffset>13804</wp:posOffset>
                </wp:positionV>
                <wp:extent cx="1494155" cy="770062"/>
                <wp:effectExtent l="0" t="0" r="10795" b="11430"/>
                <wp:wrapNone/>
                <wp:docPr id="10" name="Zaoblený obdĺžnik 10"/>
                <wp:cNvGraphicFramePr/>
                <a:graphic xmlns:a="http://schemas.openxmlformats.org/drawingml/2006/main">
                  <a:graphicData uri="http://schemas.microsoft.com/office/word/2010/wordprocessingShape">
                    <wps:wsp>
                      <wps:cNvSpPr/>
                      <wps:spPr>
                        <a:xfrm>
                          <a:off x="0" y="0"/>
                          <a:ext cx="1494155" cy="770062"/>
                        </a:xfrm>
                        <a:prstGeom prst="roundRect">
                          <a:avLst/>
                        </a:prstGeom>
                        <a:solidFill>
                          <a:srgbClr val="0070C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0749FA1" w14:textId="77777777" w:rsidR="008E73CF" w:rsidRPr="00FB5C41" w:rsidRDefault="00FB5C41" w:rsidP="008E73CF">
                            <w:pPr>
                              <w:spacing w:after="0" w:line="240" w:lineRule="auto"/>
                              <w:jc w:val="center"/>
                              <w:rPr>
                                <w:b/>
                                <w:color w:val="FFFFFF" w:themeColor="background1"/>
                                <w:szCs w:val="18"/>
                              </w:rPr>
                            </w:pPr>
                            <w:r>
                              <w:rPr>
                                <w:b/>
                                <w:color w:val="FFFFFF" w:themeColor="background1"/>
                                <w:szCs w:val="18"/>
                              </w:rPr>
                              <w:t>prenájom zariadení – príjem za prenájom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6F8D2C" id="Zaoblený obdĺžnik 10" o:spid="_x0000_s1028" style="position:absolute;margin-left:311.8pt;margin-top:1.1pt;width:117.65pt;height:60.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" fillcolor="#0070c0" strokecolor="#1f4d78 [1604]" strokeweight="1pt">
                <v:stroke joinstyle="miter"/>
                <v:textbox>
                  <w:txbxContent>
                    <w:p w14:paraId="30749FA1" w14:textId="77777777" w:rsidR="008E73CF" w:rsidRPr="00FB5C41" w:rsidRDefault="00FB5C41" w:rsidP="008E73CF">
                      <w:pPr>
                        <w:spacing w:after="0" w:line="240" w:lineRule="auto"/>
                        <w:jc w:val="center"/>
                        <w:rPr>
                          <w:b/>
                          <w:color w:val="FFFFFF" w:themeColor="background1"/>
                          <w:szCs w:val="18"/>
                        </w:rPr>
                      </w:pPr>
                      <w:r>
                        <w:rPr>
                          <w:b/>
                          <w:color w:val="FFFFFF" w:themeColor="background1"/>
                          <w:szCs w:val="18"/>
                        </w:rPr>
                        <w:t>prenájom zariadení – príjem za prenájom</w:t>
                      </w:r>
                    </w:p>
                  </w:txbxContent>
                </v:textbox>
              </v:roundrect>
            </w:pict>
          </mc:Fallback>
        </mc:AlternateContent>
      </w:r>
    </w:p>
    <w:p w14:paraId="742B7D2F"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436E5FF9"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7C649C82"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r w:rsidRPr="00E74D83">
        <w:rPr>
          <w:rFonts w:asciiTheme="minorHAnsi" w:hAnsiTheme="minorHAnsi" w:cstheme="minorHAnsi"/>
          <w:b/>
          <w:bCs/>
          <w:noProof/>
          <w:sz w:val="22"/>
          <w:lang w:eastAsia="sk-SK"/>
        </w:rPr>
        <mc:AlternateContent>
          <mc:Choice Requires="wps">
            <w:drawing>
              <wp:anchor distT="0" distB="0" distL="114300" distR="114300" simplePos="0" relativeHeight="251668480" behindDoc="0" locked="0" layoutInCell="1" allowOverlap="1" wp14:anchorId="0BB51742" wp14:editId="3D49FBD2">
                <wp:simplePos x="0" y="0"/>
                <wp:positionH relativeFrom="column">
                  <wp:posOffset>3434246</wp:posOffset>
                </wp:positionH>
                <wp:positionV relativeFrom="paragraph">
                  <wp:posOffset>86498</wp:posOffset>
                </wp:positionV>
                <wp:extent cx="525504" cy="564543"/>
                <wp:effectExtent l="0" t="38100" r="65405" b="26035"/>
                <wp:wrapNone/>
                <wp:docPr id="18" name="Rovná spojovacia šípka 18"/>
                <wp:cNvGraphicFramePr/>
                <a:graphic xmlns:a="http://schemas.openxmlformats.org/drawingml/2006/main">
                  <a:graphicData uri="http://schemas.microsoft.com/office/word/2010/wordprocessingShape">
                    <wps:wsp>
                      <wps:cNvCnPr/>
                      <wps:spPr>
                        <a:xfrm flipV="1">
                          <a:off x="0" y="0"/>
                          <a:ext cx="525504" cy="564543"/>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type w14:anchorId="71384246" id="_x0000_t32" coordsize="21600,21600" o:spt="32" o:oned="t" path="m,l21600,21600e" filled="f">
                <v:path arrowok="t" fillok="f" o:connecttype="none"/>
                <o:lock v:ext="edit" shapetype="t"/>
              </v:shapetype>
              <v:shape id="Rovná spojovacia šípka 18" o:spid="_x0000_s1026" type="#_x0000_t32" style="position:absolute;margin-left:270.4pt;margin-top:6.8pt;width:41.4pt;height:44.45pt;flip:y;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" strokecolor="red" strokeweight="1.5pt">
                <v:stroke endarrow="block" joinstyle="miter"/>
              </v:shape>
            </w:pict>
          </mc:Fallback>
        </mc:AlternateContent>
      </w:r>
    </w:p>
    <w:p w14:paraId="3AD52B40"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1EE91230"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r w:rsidRPr="00E74D83">
        <w:rPr>
          <w:rFonts w:asciiTheme="minorHAnsi" w:hAnsiTheme="minorHAnsi" w:cstheme="minorHAnsi"/>
          <w:noProof/>
          <w:sz w:val="22"/>
          <w:lang w:eastAsia="sk-SK"/>
        </w:rPr>
        <mc:AlternateContent>
          <mc:Choice Requires="wps">
            <w:drawing>
              <wp:anchor distT="0" distB="0" distL="114300" distR="114300" simplePos="0" relativeHeight="251660288" behindDoc="0" locked="0" layoutInCell="1" allowOverlap="1" wp14:anchorId="5A4E6DA5" wp14:editId="0DD1424A">
                <wp:simplePos x="0" y="0"/>
                <wp:positionH relativeFrom="column">
                  <wp:posOffset>276225</wp:posOffset>
                </wp:positionH>
                <wp:positionV relativeFrom="paragraph">
                  <wp:posOffset>93981</wp:posOffset>
                </wp:positionV>
                <wp:extent cx="3156337" cy="495300"/>
                <wp:effectExtent l="0" t="0" r="25400" b="19050"/>
                <wp:wrapNone/>
                <wp:docPr id="9" name="Zaoblený obdĺžnik 9"/>
                <wp:cNvGraphicFramePr/>
                <a:graphic xmlns:a="http://schemas.openxmlformats.org/drawingml/2006/main">
                  <a:graphicData uri="http://schemas.microsoft.com/office/word/2010/wordprocessingShape">
                    <wps:wsp>
                      <wps:cNvSpPr/>
                      <wps:spPr>
                        <a:xfrm>
                          <a:off x="0" y="0"/>
                          <a:ext cx="3156337" cy="495300"/>
                        </a:xfrm>
                        <a:prstGeom prst="round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7CC5164" w14:textId="77777777" w:rsidR="008E73CF" w:rsidRPr="00FB5C41" w:rsidRDefault="00FB5C41" w:rsidP="008E73CF">
                            <w:pPr>
                              <w:jc w:val="center"/>
                              <w:rPr>
                                <w:b/>
                                <w:color w:val="FFFFFF" w:themeColor="background1"/>
                              </w:rPr>
                            </w:pPr>
                            <w:r w:rsidRPr="00FB5C41">
                              <w:rPr>
                                <w:b/>
                                <w:color w:val="FFFFFF" w:themeColor="background1"/>
                                <w:szCs w:val="18"/>
                              </w:rPr>
                              <w:t>V</w:t>
                            </w:r>
                            <w:r w:rsidR="008E73CF" w:rsidRPr="00FB5C41">
                              <w:rPr>
                                <w:b/>
                                <w:color w:val="FFFFFF" w:themeColor="background1"/>
                                <w:szCs w:val="18"/>
                              </w:rPr>
                              <w:t>edľajšie hospodárske činnosti prijímateľa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4E6DA5" id="Zaoblený obdĺžnik 9" o:spid="_x0000_s1029" style="position:absolute;margin-left:21.75pt;margin-top:7.4pt;width:248.55pt;height: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" fillcolor="#538135 [2409]" strokecolor="#1f4d78 [1604]" strokeweight="1pt">
                <v:stroke joinstyle="miter"/>
                <v:textbox>
                  <w:txbxContent>
                    <w:p w14:paraId="37CC5164" w14:textId="77777777" w:rsidR="008E73CF" w:rsidRPr="00FB5C41" w:rsidRDefault="00FB5C41" w:rsidP="008E73CF">
                      <w:pPr>
                        <w:jc w:val="center"/>
                        <w:rPr>
                          <w:b/>
                          <w:color w:val="FFFFFF" w:themeColor="background1"/>
                        </w:rPr>
                      </w:pPr>
                      <w:r w:rsidRPr="00FB5C41">
                        <w:rPr>
                          <w:b/>
                          <w:color w:val="FFFFFF" w:themeColor="background1"/>
                          <w:szCs w:val="18"/>
                        </w:rPr>
                        <w:t>V</w:t>
                      </w:r>
                      <w:r w:rsidR="008E73CF" w:rsidRPr="00FB5C41">
                        <w:rPr>
                          <w:b/>
                          <w:color w:val="FFFFFF" w:themeColor="background1"/>
                          <w:szCs w:val="18"/>
                        </w:rPr>
                        <w:t>edľajšie hospodárske činnosti prijímateľa</w:t>
                      </w:r>
                    </w:p>
                  </w:txbxContent>
                </v:textbox>
              </v:roundrect>
            </w:pict>
          </mc:Fallback>
        </mc:AlternateContent>
      </w:r>
    </w:p>
    <w:p w14:paraId="6E6B9067"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2F8FBEDF"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r w:rsidRPr="00E74D83">
        <w:rPr>
          <w:rFonts w:asciiTheme="minorHAnsi" w:hAnsiTheme="minorHAnsi" w:cstheme="minorHAnsi"/>
          <w:b/>
          <w:bCs/>
          <w:noProof/>
          <w:sz w:val="22"/>
          <w:lang w:eastAsia="sk-SK"/>
        </w:rPr>
        <mc:AlternateContent>
          <mc:Choice Requires="wps">
            <w:drawing>
              <wp:anchor distT="0" distB="0" distL="114300" distR="114300" simplePos="0" relativeHeight="251664384" behindDoc="0" locked="0" layoutInCell="1" allowOverlap="1" wp14:anchorId="2FE8C136" wp14:editId="0F491487">
                <wp:simplePos x="0" y="0"/>
                <wp:positionH relativeFrom="column">
                  <wp:posOffset>3959750</wp:posOffset>
                </wp:positionH>
                <wp:positionV relativeFrom="paragraph">
                  <wp:posOffset>96050</wp:posOffset>
                </wp:positionV>
                <wp:extent cx="1494155" cy="739471"/>
                <wp:effectExtent l="0" t="0" r="10795" b="22860"/>
                <wp:wrapNone/>
                <wp:docPr id="14" name="Zaoblený obdĺžnik 14"/>
                <wp:cNvGraphicFramePr/>
                <a:graphic xmlns:a="http://schemas.openxmlformats.org/drawingml/2006/main">
                  <a:graphicData uri="http://schemas.microsoft.com/office/word/2010/wordprocessingShape">
                    <wps:wsp>
                      <wps:cNvSpPr/>
                      <wps:spPr>
                        <a:xfrm>
                          <a:off x="0" y="0"/>
                          <a:ext cx="1494155" cy="739471"/>
                        </a:xfrm>
                        <a:prstGeom prst="roundRect">
                          <a:avLst/>
                        </a:prstGeom>
                        <a:solidFill>
                          <a:srgbClr val="0070C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AA88BC1" w14:textId="77777777" w:rsidR="008E73CF" w:rsidRPr="00FB5C41" w:rsidRDefault="008E73CF" w:rsidP="008E73CF">
                            <w:pPr>
                              <w:spacing w:after="0" w:line="240" w:lineRule="auto"/>
                              <w:jc w:val="center"/>
                              <w:rPr>
                                <w:b/>
                                <w:color w:val="FFFFFF" w:themeColor="background1"/>
                                <w:szCs w:val="18"/>
                              </w:rPr>
                            </w:pPr>
                            <w:r w:rsidRPr="00FB5C41">
                              <w:rPr>
                                <w:b/>
                                <w:color w:val="FFFFFF" w:themeColor="background1"/>
                                <w:szCs w:val="18"/>
                              </w:rPr>
                              <w:t>prenájom</w:t>
                            </w:r>
                          </w:p>
                          <w:p w14:paraId="1F063166" w14:textId="77777777" w:rsidR="008E73CF" w:rsidRPr="00FB5C41" w:rsidRDefault="00FB5C41" w:rsidP="008E73CF">
                            <w:pPr>
                              <w:spacing w:after="0" w:line="240" w:lineRule="auto"/>
                              <w:jc w:val="center"/>
                              <w:rPr>
                                <w:b/>
                                <w:color w:val="FFFFFF" w:themeColor="background1"/>
                                <w:szCs w:val="18"/>
                              </w:rPr>
                            </w:pPr>
                            <w:r>
                              <w:rPr>
                                <w:b/>
                                <w:color w:val="FFFFFF" w:themeColor="background1"/>
                                <w:szCs w:val="18"/>
                              </w:rPr>
                              <w:t> priestorov – príjem za prenájom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E8C136" id="Zaoblený obdĺžnik 14" o:spid="_x0000_s1030" style="position:absolute;margin-left:311.8pt;margin-top:7.55pt;width:117.65pt;height:5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" fillcolor="#0070c0" strokecolor="#1f4d78 [1604]" strokeweight="1pt">
                <v:stroke joinstyle="miter"/>
                <v:textbox>
                  <w:txbxContent>
                    <w:p w14:paraId="2AA88BC1" w14:textId="77777777" w:rsidR="008E73CF" w:rsidRPr="00FB5C41" w:rsidRDefault="008E73CF" w:rsidP="008E73CF">
                      <w:pPr>
                        <w:spacing w:after="0" w:line="240" w:lineRule="auto"/>
                        <w:jc w:val="center"/>
                        <w:rPr>
                          <w:b/>
                          <w:color w:val="FFFFFF" w:themeColor="background1"/>
                          <w:szCs w:val="18"/>
                        </w:rPr>
                      </w:pPr>
                      <w:r w:rsidRPr="00FB5C41">
                        <w:rPr>
                          <w:b/>
                          <w:color w:val="FFFFFF" w:themeColor="background1"/>
                          <w:szCs w:val="18"/>
                        </w:rPr>
                        <w:t>prenájom</w:t>
                      </w:r>
                    </w:p>
                    <w:p w14:paraId="1F063166" w14:textId="77777777" w:rsidR="008E73CF" w:rsidRPr="00FB5C41" w:rsidRDefault="00FB5C41" w:rsidP="008E73CF">
                      <w:pPr>
                        <w:spacing w:after="0" w:line="240" w:lineRule="auto"/>
                        <w:jc w:val="center"/>
                        <w:rPr>
                          <w:b/>
                          <w:color w:val="FFFFFF" w:themeColor="background1"/>
                          <w:szCs w:val="18"/>
                        </w:rPr>
                      </w:pPr>
                      <w:r>
                        <w:rPr>
                          <w:b/>
                          <w:color w:val="FFFFFF" w:themeColor="background1"/>
                          <w:szCs w:val="18"/>
                        </w:rPr>
                        <w:t> priestorov – príjem za prenájom</w:t>
                      </w:r>
                    </w:p>
                  </w:txbxContent>
                </v:textbox>
              </v:roundrect>
            </w:pict>
          </mc:Fallback>
        </mc:AlternateContent>
      </w:r>
      <w:r w:rsidRPr="00E74D83">
        <w:rPr>
          <w:rFonts w:asciiTheme="minorHAnsi" w:hAnsiTheme="minorHAnsi" w:cstheme="minorHAnsi"/>
          <w:b/>
          <w:bCs/>
          <w:noProof/>
          <w:sz w:val="22"/>
          <w:lang w:eastAsia="sk-SK"/>
        </w:rPr>
        <mc:AlternateContent>
          <mc:Choice Requires="wps">
            <w:drawing>
              <wp:anchor distT="0" distB="0" distL="114300" distR="114300" simplePos="0" relativeHeight="251669504" behindDoc="0" locked="0" layoutInCell="1" allowOverlap="1" wp14:anchorId="01A545B4" wp14:editId="3C6FC8E2">
                <wp:simplePos x="0" y="0"/>
                <wp:positionH relativeFrom="column">
                  <wp:posOffset>3434246</wp:posOffset>
                </wp:positionH>
                <wp:positionV relativeFrom="paragraph">
                  <wp:posOffset>96023</wp:posOffset>
                </wp:positionV>
                <wp:extent cx="525862" cy="469155"/>
                <wp:effectExtent l="0" t="0" r="83820" b="64770"/>
                <wp:wrapNone/>
                <wp:docPr id="19" name="Rovná spojovacia šípka 19"/>
                <wp:cNvGraphicFramePr/>
                <a:graphic xmlns:a="http://schemas.openxmlformats.org/drawingml/2006/main">
                  <a:graphicData uri="http://schemas.microsoft.com/office/word/2010/wordprocessingShape">
                    <wps:wsp>
                      <wps:cNvCnPr/>
                      <wps:spPr>
                        <a:xfrm>
                          <a:off x="0" y="0"/>
                          <a:ext cx="525862" cy="469155"/>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w14:anchorId="044CFEC0" id="Rovná spojovacia šípka 19" o:spid="_x0000_s1026" type="#_x0000_t32" style="position:absolute;margin-left:270.4pt;margin-top:7.55pt;width:41.4pt;height:36.9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" strokecolor="red" strokeweight="1.5pt">
                <v:stroke endarrow="block" joinstyle="miter"/>
              </v:shape>
            </w:pict>
          </mc:Fallback>
        </mc:AlternateContent>
      </w:r>
    </w:p>
    <w:p w14:paraId="389A49CD"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120E20AE"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r w:rsidRPr="00E74D83">
        <w:rPr>
          <w:rFonts w:asciiTheme="minorHAnsi" w:hAnsiTheme="minorHAnsi" w:cstheme="minorHAnsi"/>
          <w:b/>
          <w:bCs/>
          <w:noProof/>
          <w:sz w:val="22"/>
          <w:lang w:eastAsia="sk-SK"/>
        </w:rPr>
        <mc:AlternateContent>
          <mc:Choice Requires="wps">
            <w:drawing>
              <wp:anchor distT="0" distB="0" distL="114300" distR="114300" simplePos="0" relativeHeight="251667456" behindDoc="0" locked="0" layoutInCell="1" allowOverlap="1" wp14:anchorId="277A4C50" wp14:editId="19CE5F93">
                <wp:simplePos x="0" y="0"/>
                <wp:positionH relativeFrom="column">
                  <wp:posOffset>2828925</wp:posOffset>
                </wp:positionH>
                <wp:positionV relativeFrom="paragraph">
                  <wp:posOffset>34290</wp:posOffset>
                </wp:positionV>
                <wp:extent cx="171450" cy="803275"/>
                <wp:effectExtent l="19050" t="0" r="19050" b="34925"/>
                <wp:wrapNone/>
                <wp:docPr id="17" name="Šípka nadol 17"/>
                <wp:cNvGraphicFramePr/>
                <a:graphic xmlns:a="http://schemas.openxmlformats.org/drawingml/2006/main">
                  <a:graphicData uri="http://schemas.microsoft.com/office/word/2010/wordprocessingShape">
                    <wps:wsp>
                      <wps:cNvSpPr/>
                      <wps:spPr>
                        <a:xfrm>
                          <a:off x="0" y="0"/>
                          <a:ext cx="171450" cy="803275"/>
                        </a:xfrm>
                        <a:prstGeom prst="down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C2DE36" id="Šípka nadol 17" o:spid="_x0000_s1026" type="#_x0000_t67" style="position:absolute;margin-left:222.75pt;margin-top:2.7pt;width:13.5pt;height:6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" adj="19295" fillcolor="red" strokecolor="#1f4d78 [1604]" strokeweight="1pt"/>
            </w:pict>
          </mc:Fallback>
        </mc:AlternateContent>
      </w:r>
    </w:p>
    <w:p w14:paraId="43087992" w14:textId="77777777" w:rsidR="008E73CF" w:rsidRPr="00E74D83" w:rsidRDefault="008E73CF" w:rsidP="00E74D83">
      <w:pPr>
        <w:spacing w:before="120" w:line="259" w:lineRule="auto"/>
        <w:jc w:val="center"/>
        <w:rPr>
          <w:rFonts w:asciiTheme="minorHAnsi" w:hAnsiTheme="minorHAnsi" w:cstheme="minorHAnsi"/>
          <w:color w:val="9CC2E5" w:themeColor="accent1" w:themeTint="99"/>
          <w:sz w:val="22"/>
        </w:rPr>
      </w:pPr>
      <w:r w:rsidRPr="00E74D83">
        <w:rPr>
          <w:rFonts w:asciiTheme="minorHAnsi" w:hAnsiTheme="minorHAnsi" w:cstheme="minorHAnsi"/>
          <w:color w:val="9CC2E5" w:themeColor="accent1" w:themeTint="99"/>
          <w:sz w:val="22"/>
        </w:rPr>
        <w:t xml:space="preserve">    </w:t>
      </w:r>
    </w:p>
    <w:p w14:paraId="372C9F05"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45DD5982"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57BFB022"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6FD4F55F"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r w:rsidRPr="00E74D83">
        <w:rPr>
          <w:rFonts w:asciiTheme="minorHAnsi" w:hAnsiTheme="minorHAnsi" w:cstheme="minorHAnsi"/>
          <w:b/>
          <w:bCs/>
          <w:noProof/>
          <w:sz w:val="22"/>
          <w:lang w:eastAsia="sk-SK"/>
        </w:rPr>
        <mc:AlternateContent>
          <mc:Choice Requires="wps">
            <w:drawing>
              <wp:anchor distT="0" distB="0" distL="114300" distR="114300" simplePos="0" relativeHeight="251662336" behindDoc="0" locked="0" layoutInCell="1" allowOverlap="1" wp14:anchorId="1D353AF5" wp14:editId="1E239775">
                <wp:simplePos x="0" y="0"/>
                <wp:positionH relativeFrom="column">
                  <wp:posOffset>341906</wp:posOffset>
                </wp:positionH>
                <wp:positionV relativeFrom="paragraph">
                  <wp:posOffset>38762</wp:posOffset>
                </wp:positionV>
                <wp:extent cx="2265680" cy="810895"/>
                <wp:effectExtent l="0" t="0" r="20320" b="27305"/>
                <wp:wrapNone/>
                <wp:docPr id="12" name="Zaoblený obdĺžnik 12"/>
                <wp:cNvGraphicFramePr/>
                <a:graphic xmlns:a="http://schemas.openxmlformats.org/drawingml/2006/main">
                  <a:graphicData uri="http://schemas.microsoft.com/office/word/2010/wordprocessingShape">
                    <wps:wsp>
                      <wps:cNvSpPr/>
                      <wps:spPr>
                        <a:xfrm>
                          <a:off x="0" y="0"/>
                          <a:ext cx="2265680" cy="810895"/>
                        </a:xfrm>
                        <a:prstGeom prst="round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AEADEFE" w14:textId="77777777" w:rsidR="008E73CF" w:rsidRPr="00FB5C41" w:rsidRDefault="008E73CF" w:rsidP="008E73CF">
                            <w:pPr>
                              <w:jc w:val="center"/>
                              <w:rPr>
                                <w:b/>
                                <w:color w:val="FF0000"/>
                              </w:rPr>
                            </w:pPr>
                            <w:r w:rsidRPr="00FB5C41">
                              <w:rPr>
                                <w:b/>
                                <w:color w:val="FF0000"/>
                                <w:szCs w:val="18"/>
                              </w:rPr>
                              <w:t xml:space="preserve">Kapacita </w:t>
                            </w:r>
                            <w:r w:rsidR="00FB5C41" w:rsidRPr="00FB5C41">
                              <w:rPr>
                                <w:b/>
                                <w:color w:val="FF0000"/>
                                <w:szCs w:val="18"/>
                              </w:rPr>
                              <w:t xml:space="preserve">podporenej infraštruktúry </w:t>
                            </w:r>
                            <w:r w:rsidRPr="00FB5C41">
                              <w:rPr>
                                <w:b/>
                                <w:color w:val="FF0000"/>
                                <w:szCs w:val="18"/>
                              </w:rPr>
                              <w:t>20% celkovej ročnej kapacity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353AF5" id="Zaoblený obdĺžnik 12" o:spid="_x0000_s1031" style="position:absolute;margin-left:26.9pt;margin-top:3.05pt;width:178.4pt;height:63.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" fillcolor="yellow" strokecolor="#1f4d78 [1604]" strokeweight="1pt">
                <v:stroke joinstyle="miter"/>
                <v:textbox>
                  <w:txbxContent>
                    <w:p w14:paraId="1AEADEFE" w14:textId="77777777" w:rsidR="008E73CF" w:rsidRPr="00FB5C41" w:rsidRDefault="008E73CF" w:rsidP="008E73CF">
                      <w:pPr>
                        <w:jc w:val="center"/>
                        <w:rPr>
                          <w:b/>
                          <w:color w:val="FF0000"/>
                        </w:rPr>
                      </w:pPr>
                      <w:r w:rsidRPr="00FB5C41">
                        <w:rPr>
                          <w:b/>
                          <w:color w:val="FF0000"/>
                          <w:szCs w:val="18"/>
                        </w:rPr>
                        <w:t xml:space="preserve">Kapacita </w:t>
                      </w:r>
                      <w:r w:rsidR="00FB5C41" w:rsidRPr="00FB5C41">
                        <w:rPr>
                          <w:b/>
                          <w:color w:val="FF0000"/>
                          <w:szCs w:val="18"/>
                        </w:rPr>
                        <w:t xml:space="preserve">podporenej infraštruktúry </w:t>
                      </w:r>
                      <w:r w:rsidRPr="00FB5C41">
                        <w:rPr>
                          <w:b/>
                          <w:color w:val="FF0000"/>
                          <w:szCs w:val="18"/>
                        </w:rPr>
                        <w:t>20% celkovej ročnej kapacity</w:t>
                      </w:r>
                    </w:p>
                  </w:txbxContent>
                </v:textbox>
              </v:roundrect>
            </w:pict>
          </mc:Fallback>
        </mc:AlternateContent>
      </w:r>
      <w:r w:rsidRPr="00E74D83">
        <w:rPr>
          <w:rFonts w:asciiTheme="minorHAnsi" w:hAnsiTheme="minorHAnsi" w:cstheme="minorHAnsi"/>
          <w:b/>
          <w:bCs/>
          <w:noProof/>
          <w:sz w:val="22"/>
          <w:lang w:eastAsia="sk-SK"/>
        </w:rPr>
        <mc:AlternateContent>
          <mc:Choice Requires="wps">
            <w:drawing>
              <wp:anchor distT="0" distB="0" distL="114300" distR="114300" simplePos="0" relativeHeight="251663360" behindDoc="0" locked="0" layoutInCell="1" allowOverlap="1" wp14:anchorId="56761DCC" wp14:editId="0C620117">
                <wp:simplePos x="0" y="0"/>
                <wp:positionH relativeFrom="column">
                  <wp:posOffset>3236181</wp:posOffset>
                </wp:positionH>
                <wp:positionV relativeFrom="paragraph">
                  <wp:posOffset>38763</wp:posOffset>
                </wp:positionV>
                <wp:extent cx="2265680" cy="811033"/>
                <wp:effectExtent l="0" t="0" r="20320" b="27305"/>
                <wp:wrapNone/>
                <wp:docPr id="13" name="Zaoblený obdĺžnik 13"/>
                <wp:cNvGraphicFramePr/>
                <a:graphic xmlns:a="http://schemas.openxmlformats.org/drawingml/2006/main">
                  <a:graphicData uri="http://schemas.microsoft.com/office/word/2010/wordprocessingShape">
                    <wps:wsp>
                      <wps:cNvSpPr/>
                      <wps:spPr>
                        <a:xfrm>
                          <a:off x="0" y="0"/>
                          <a:ext cx="2265680" cy="811033"/>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0B53298" w14:textId="77777777" w:rsidR="008E73CF" w:rsidRPr="00FB5C41" w:rsidRDefault="008E73CF" w:rsidP="008E73CF">
                            <w:pPr>
                              <w:jc w:val="center"/>
                              <w:rPr>
                                <w:b/>
                                <w:color w:val="0D0D0D" w:themeColor="text1" w:themeTint="F2"/>
                                <w:szCs w:val="18"/>
                              </w:rPr>
                            </w:pPr>
                            <w:r w:rsidRPr="00FB5C41">
                              <w:rPr>
                                <w:b/>
                                <w:color w:val="0D0D0D" w:themeColor="text1" w:themeTint="F2"/>
                                <w:szCs w:val="18"/>
                              </w:rPr>
                              <w:t>Využívajú sa rovnaké vstupy ako na nehospodárske činnosti (materiál, zariadenia, pracovná sila, fixný kapitál)</w:t>
                            </w:r>
                          </w:p>
                          <w:p w14:paraId="3262C451" w14:textId="77777777" w:rsidR="008E73CF" w:rsidRDefault="008E73CF" w:rsidP="008E73C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761DCC" id="Zaoblený obdĺžnik 13" o:spid="_x0000_s1032" style="position:absolute;margin-left:254.8pt;margin-top:3.05pt;width:178.4pt;height:63.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" fillcolor="white [3212]" strokecolor="#1f4d78 [1604]" strokeweight="1pt">
                <v:stroke joinstyle="miter"/>
                <v:textbox>
                  <w:txbxContent>
                    <w:p w14:paraId="30B53298" w14:textId="77777777" w:rsidR="008E73CF" w:rsidRPr="00FB5C41" w:rsidRDefault="008E73CF" w:rsidP="008E73CF">
                      <w:pPr>
                        <w:jc w:val="center"/>
                        <w:rPr>
                          <w:b/>
                          <w:color w:val="0D0D0D" w:themeColor="text1" w:themeTint="F2"/>
                          <w:szCs w:val="18"/>
                        </w:rPr>
                      </w:pPr>
                      <w:r w:rsidRPr="00FB5C41">
                        <w:rPr>
                          <w:b/>
                          <w:color w:val="0D0D0D" w:themeColor="text1" w:themeTint="F2"/>
                          <w:szCs w:val="18"/>
                        </w:rPr>
                        <w:t>Využívajú sa rovnaké vstupy ako na nehospodárske činnosti (materiál, zariadenia, pracovná sila, fixný kapitál)</w:t>
                      </w:r>
                    </w:p>
                    <w:p w14:paraId="3262C451" w14:textId="77777777" w:rsidR="008E73CF" w:rsidRDefault="008E73CF" w:rsidP="008E73CF">
                      <w:pPr>
                        <w:jc w:val="center"/>
                      </w:pPr>
                    </w:p>
                  </w:txbxContent>
                </v:textbox>
              </v:roundrect>
            </w:pict>
          </mc:Fallback>
        </mc:AlternateContent>
      </w:r>
    </w:p>
    <w:p w14:paraId="57D6225D"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r w:rsidRPr="00E74D83">
        <w:rPr>
          <w:rFonts w:asciiTheme="minorHAnsi" w:hAnsiTheme="minorHAnsi" w:cstheme="minorHAnsi"/>
          <w:b/>
          <w:bCs/>
          <w:noProof/>
          <w:sz w:val="22"/>
          <w:lang w:eastAsia="sk-SK"/>
        </w:rPr>
        <mc:AlternateContent>
          <mc:Choice Requires="wps">
            <w:drawing>
              <wp:anchor distT="0" distB="0" distL="114300" distR="114300" simplePos="0" relativeHeight="251665408" behindDoc="0" locked="0" layoutInCell="1" allowOverlap="1" wp14:anchorId="26D08B00" wp14:editId="297148F5">
                <wp:simplePos x="0" y="0"/>
                <wp:positionH relativeFrom="column">
                  <wp:posOffset>2694940</wp:posOffset>
                </wp:positionH>
                <wp:positionV relativeFrom="paragraph">
                  <wp:posOffset>90502</wp:posOffset>
                </wp:positionV>
                <wp:extent cx="445273" cy="452396"/>
                <wp:effectExtent l="0" t="0" r="0" b="0"/>
                <wp:wrapNone/>
                <wp:docPr id="15" name="Plus 15"/>
                <wp:cNvGraphicFramePr/>
                <a:graphic xmlns:a="http://schemas.openxmlformats.org/drawingml/2006/main">
                  <a:graphicData uri="http://schemas.microsoft.com/office/word/2010/wordprocessingShape">
                    <wps:wsp>
                      <wps:cNvSpPr/>
                      <wps:spPr>
                        <a:xfrm>
                          <a:off x="0" y="0"/>
                          <a:ext cx="445273" cy="452396"/>
                        </a:xfrm>
                        <a:prstGeom prst="mathPlus">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0CA570" id="Plus 15" o:spid="_x0000_s1026" style="position:absolute;margin-left:212.2pt;margin-top:7.15pt;width:35.05pt;height:3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5273,452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" path="m59021,173834r111251,l170272,59965r104729,l275001,173834r111251,l386252,278562r-111251,l275001,392431r-104729,l170272,278562r-111251,l59021,173834xe" fillcolor="red" strokecolor="#1f4d78 [1604]" strokeweight="1pt">
                <v:stroke joinstyle="miter"/>
                <v:path arrowok="t" o:connecttype="custom" o:connectlocs="59021,173834;170272,173834;170272,59965;275001,59965;275001,173834;386252,173834;386252,278562;275001,278562;275001,392431;170272,392431;170272,278562;59021,278562;59021,173834" o:connectangles="0,0,0,0,0,0,0,0,0,0,0,0,0"/>
              </v:shape>
            </w:pict>
          </mc:Fallback>
        </mc:AlternateContent>
      </w:r>
    </w:p>
    <w:p w14:paraId="4CF13681"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5CC4E235"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0826E1F3"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4A2D4C8D"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46DEA9CB" w14:textId="6557B01F" w:rsidR="008E73CF" w:rsidRPr="00E74D83" w:rsidRDefault="008E73CF" w:rsidP="00E74D83">
      <w:pPr>
        <w:spacing w:before="120" w:line="259" w:lineRule="auto"/>
        <w:rPr>
          <w:rFonts w:asciiTheme="minorHAnsi" w:hAnsiTheme="minorHAnsi" w:cstheme="minorHAnsi"/>
          <w:b/>
          <w:bCs/>
          <w:sz w:val="22"/>
        </w:rPr>
      </w:pPr>
      <w:r w:rsidRPr="00E74D83">
        <w:rPr>
          <w:rFonts w:asciiTheme="minorHAnsi" w:hAnsiTheme="minorHAnsi" w:cstheme="minorHAnsi"/>
          <w:sz w:val="22"/>
        </w:rPr>
        <w:lastRenderedPageBreak/>
        <w:t>Pre doplnkovosť aktivity je teda nevyhnutné nielen dodržanie 20</w:t>
      </w:r>
      <w:r w:rsidR="003B5385">
        <w:rPr>
          <w:rFonts w:asciiTheme="minorHAnsi" w:hAnsiTheme="minorHAnsi" w:cstheme="minorHAnsi"/>
          <w:sz w:val="22"/>
        </w:rPr>
        <w:t xml:space="preserve"> </w:t>
      </w:r>
      <w:r w:rsidRPr="00E74D83">
        <w:rPr>
          <w:rFonts w:asciiTheme="minorHAnsi" w:hAnsiTheme="minorHAnsi" w:cstheme="minorHAnsi"/>
          <w:sz w:val="22"/>
        </w:rPr>
        <w:t>% ročnej kapacity, ale aj naplnenie kvalitatívneho kritéria, ktoré spočíva v rovnakých vstupoch pre hospodárske aj nehospodárske aktivity</w:t>
      </w:r>
      <w:r w:rsidRPr="00E74D83">
        <w:rPr>
          <w:rFonts w:asciiTheme="minorHAnsi" w:hAnsiTheme="minorHAnsi" w:cstheme="minorHAnsi"/>
          <w:b/>
          <w:bCs/>
          <w:sz w:val="22"/>
        </w:rPr>
        <w:t>.</w:t>
      </w:r>
    </w:p>
    <w:p w14:paraId="6724B227" w14:textId="77777777" w:rsidR="008E73CF" w:rsidRPr="00E74D83" w:rsidRDefault="008E73CF" w:rsidP="00E74D83">
      <w:pPr>
        <w:spacing w:before="120" w:line="259" w:lineRule="auto"/>
        <w:rPr>
          <w:rFonts w:asciiTheme="minorHAnsi" w:hAnsiTheme="minorHAnsi" w:cstheme="minorHAnsi"/>
          <w:sz w:val="22"/>
        </w:rPr>
      </w:pPr>
    </w:p>
    <w:p w14:paraId="05D3611B" w14:textId="2ADC11F3" w:rsidR="008E73CF" w:rsidRPr="00E74D83" w:rsidRDefault="008E73CF" w:rsidP="00444105">
      <w:pPr>
        <w:pStyle w:val="Nadpis1"/>
      </w:pPr>
      <w:bookmarkStart w:id="6" w:name="_Toc173163825"/>
      <w:r w:rsidRPr="00E74D83">
        <w:t>Postup sledovania doplnkového využitia infraštruktúry</w:t>
      </w:r>
      <w:bookmarkEnd w:id="6"/>
    </w:p>
    <w:p w14:paraId="72EBC1FA" w14:textId="77777777" w:rsidR="008E73CF" w:rsidRPr="00E74D83" w:rsidRDefault="008E73CF" w:rsidP="00E74D83">
      <w:pPr>
        <w:pStyle w:val="Nadpis2"/>
        <w:spacing w:after="120" w:line="259" w:lineRule="auto"/>
        <w:rPr>
          <w:rFonts w:asciiTheme="minorHAnsi" w:hAnsiTheme="minorHAnsi" w:cstheme="minorHAnsi"/>
          <w:sz w:val="22"/>
          <w:szCs w:val="22"/>
        </w:rPr>
      </w:pPr>
      <w:bookmarkStart w:id="7" w:name="_Toc173163826"/>
      <w:r w:rsidRPr="00E74D83">
        <w:rPr>
          <w:rFonts w:asciiTheme="minorHAnsi" w:hAnsiTheme="minorHAnsi" w:cstheme="minorHAnsi"/>
          <w:sz w:val="22"/>
          <w:szCs w:val="22"/>
        </w:rPr>
        <w:t>Realizácia projektu a obdobie udržateľnosti projektu</w:t>
      </w:r>
      <w:bookmarkEnd w:id="7"/>
    </w:p>
    <w:p w14:paraId="597D9213" w14:textId="77777777" w:rsidR="008E73CF" w:rsidRPr="00E74D83" w:rsidRDefault="008E73CF" w:rsidP="00E74D83">
      <w:pPr>
        <w:spacing w:before="120" w:line="259" w:lineRule="auto"/>
        <w:rPr>
          <w:rFonts w:asciiTheme="minorHAnsi" w:hAnsiTheme="minorHAnsi" w:cstheme="minorHAnsi"/>
          <w:b/>
          <w:sz w:val="22"/>
        </w:rPr>
      </w:pPr>
      <w:r w:rsidRPr="00E74D83">
        <w:rPr>
          <w:rFonts w:asciiTheme="minorHAnsi" w:hAnsiTheme="minorHAnsi" w:cstheme="minorHAnsi"/>
          <w:b/>
          <w:sz w:val="22"/>
        </w:rPr>
        <w:t>Podmienky pre doplnkové využívanie infraštruktúry:</w:t>
      </w:r>
    </w:p>
    <w:p w14:paraId="4159BF4A" w14:textId="77777777" w:rsidR="008E73CF" w:rsidRPr="00E74D83" w:rsidRDefault="008E73CF" w:rsidP="00E74D83">
      <w:pPr>
        <w:pStyle w:val="Odsekzoznamu"/>
        <w:numPr>
          <w:ilvl w:val="0"/>
          <w:numId w:val="5"/>
        </w:numPr>
        <w:spacing w:before="120" w:line="259" w:lineRule="auto"/>
        <w:ind w:left="714" w:hanging="357"/>
        <w:contextualSpacing w:val="0"/>
        <w:rPr>
          <w:rFonts w:asciiTheme="minorHAnsi" w:hAnsiTheme="minorHAnsi" w:cstheme="minorHAnsi"/>
          <w:sz w:val="22"/>
        </w:rPr>
      </w:pPr>
      <w:r w:rsidRPr="00E74D83">
        <w:rPr>
          <w:rFonts w:asciiTheme="minorHAnsi" w:hAnsiTheme="minorHAnsi" w:cstheme="minorHAnsi"/>
          <w:b/>
          <w:sz w:val="22"/>
        </w:rPr>
        <w:t>Prenájom, ponúkané služby alebo predávané výrobky musia byť ponúkané za trhových podmienok</w:t>
      </w:r>
      <w:r w:rsidRPr="00E74D83">
        <w:rPr>
          <w:rFonts w:asciiTheme="minorHAnsi" w:hAnsiTheme="minorHAnsi" w:cstheme="minorHAnsi"/>
          <w:sz w:val="22"/>
        </w:rPr>
        <w:t xml:space="preserve">, v opačnom prípade môže konanie prijímateľa zakladať neoprávnenú štátnu pomoc, s ktorou sa spája povinnosť vymáhania, resp. vrátenia NFP alebo jeho časti. </w:t>
      </w:r>
    </w:p>
    <w:p w14:paraId="2B0C524D" w14:textId="77777777" w:rsidR="008E73CF" w:rsidRPr="00E74D83" w:rsidRDefault="008E73CF" w:rsidP="00E74D83">
      <w:pPr>
        <w:pStyle w:val="Odsekzoznamu"/>
        <w:numPr>
          <w:ilvl w:val="0"/>
          <w:numId w:val="5"/>
        </w:numPr>
        <w:spacing w:before="120" w:line="259" w:lineRule="auto"/>
        <w:ind w:left="714" w:hanging="357"/>
        <w:contextualSpacing w:val="0"/>
        <w:rPr>
          <w:rFonts w:asciiTheme="minorHAnsi" w:hAnsiTheme="minorHAnsi" w:cstheme="minorHAnsi"/>
          <w:sz w:val="22"/>
        </w:rPr>
      </w:pPr>
      <w:r w:rsidRPr="00E74D83">
        <w:rPr>
          <w:rFonts w:asciiTheme="minorHAnsi" w:hAnsiTheme="minorHAnsi" w:cstheme="minorHAnsi"/>
          <w:b/>
          <w:sz w:val="22"/>
        </w:rPr>
        <w:t>Prijímateľ je povinný viesť oddelené účty alebo sledovať v analytickom účtovníctve oddelene hospodárske a nehospodárske činnosti</w:t>
      </w:r>
      <w:r w:rsidRPr="00E74D83">
        <w:rPr>
          <w:rFonts w:asciiTheme="minorHAnsi" w:hAnsiTheme="minorHAnsi" w:cstheme="minorHAnsi"/>
          <w:sz w:val="22"/>
        </w:rPr>
        <w:t xml:space="preserve"> s cieľom predchádzať krížovému financovaniu hospodárskych činností cez nehospodárske. Sledovanie nákladov a príjmov každého typu aktivity a ich monitorovanie sa musí diať na ročnej báze. Dokladom pre toto sledovanie môže byť ročná účtovná závierka prijímateľa.</w:t>
      </w:r>
    </w:p>
    <w:p w14:paraId="12BE1457" w14:textId="592525A3" w:rsidR="008E73CF" w:rsidRPr="00E74D83" w:rsidRDefault="008E73CF" w:rsidP="00E74D83">
      <w:pPr>
        <w:pStyle w:val="Odsekzoznamu"/>
        <w:numPr>
          <w:ilvl w:val="0"/>
          <w:numId w:val="5"/>
        </w:numPr>
        <w:spacing w:before="120" w:line="259" w:lineRule="auto"/>
        <w:ind w:left="714" w:hanging="357"/>
        <w:contextualSpacing w:val="0"/>
        <w:rPr>
          <w:rFonts w:asciiTheme="minorHAnsi" w:hAnsiTheme="minorHAnsi" w:cstheme="minorHAnsi"/>
          <w:sz w:val="22"/>
        </w:rPr>
      </w:pPr>
      <w:r w:rsidRPr="00E74D83">
        <w:rPr>
          <w:rFonts w:asciiTheme="minorHAnsi" w:hAnsiTheme="minorHAnsi" w:cstheme="minorHAnsi"/>
          <w:b/>
          <w:sz w:val="22"/>
        </w:rPr>
        <w:t xml:space="preserve">Informáciu o hospodárskom využívaní infraštruktúry uvádza prijímateľ vo </w:t>
      </w:r>
      <w:r w:rsidR="00FB5C41" w:rsidRPr="00E74D83">
        <w:rPr>
          <w:rFonts w:asciiTheme="minorHAnsi" w:hAnsiTheme="minorHAnsi" w:cstheme="minorHAnsi"/>
          <w:b/>
          <w:sz w:val="22"/>
        </w:rPr>
        <w:t>všetkých typoch monitorovacích správ.</w:t>
      </w:r>
      <w:r w:rsidRPr="00E74D83">
        <w:rPr>
          <w:rFonts w:asciiTheme="minorHAnsi" w:hAnsiTheme="minorHAnsi" w:cstheme="minorHAnsi"/>
          <w:sz w:val="22"/>
        </w:rPr>
        <w:t xml:space="preserve"> Pre výpočet využitia ročnej kapacity infraštruktúry využije prijímateľ ako pomôcku prílohu č. </w:t>
      </w:r>
      <w:r w:rsidR="003F6B47">
        <w:rPr>
          <w:rFonts w:asciiTheme="minorHAnsi" w:hAnsiTheme="minorHAnsi" w:cstheme="minorHAnsi"/>
          <w:sz w:val="22"/>
        </w:rPr>
        <w:t>2 tohto dokumentu</w:t>
      </w:r>
      <w:r w:rsidRPr="00E74D83">
        <w:rPr>
          <w:rFonts w:asciiTheme="minorHAnsi" w:hAnsiTheme="minorHAnsi" w:cstheme="minorHAnsi"/>
          <w:sz w:val="22"/>
        </w:rPr>
        <w:t xml:space="preserve">. Dokument vychádzajúci z prílohy č. </w:t>
      </w:r>
      <w:r w:rsidR="003F6B47">
        <w:rPr>
          <w:rFonts w:asciiTheme="minorHAnsi" w:hAnsiTheme="minorHAnsi" w:cstheme="minorHAnsi"/>
          <w:sz w:val="22"/>
        </w:rPr>
        <w:t>2</w:t>
      </w:r>
      <w:r w:rsidR="009C1B0A" w:rsidRPr="00E74D83">
        <w:rPr>
          <w:rFonts w:asciiTheme="minorHAnsi" w:hAnsiTheme="minorHAnsi" w:cstheme="minorHAnsi"/>
          <w:sz w:val="22"/>
        </w:rPr>
        <w:t xml:space="preserve"> </w:t>
      </w:r>
      <w:r w:rsidR="003F6B47">
        <w:rPr>
          <w:rFonts w:asciiTheme="minorHAnsi" w:hAnsiTheme="minorHAnsi" w:cstheme="minorHAnsi"/>
          <w:sz w:val="22"/>
        </w:rPr>
        <w:t>tohto dokumentu</w:t>
      </w:r>
      <w:r w:rsidR="003F6B47" w:rsidRPr="00E74D83">
        <w:rPr>
          <w:rFonts w:asciiTheme="minorHAnsi" w:hAnsiTheme="minorHAnsi" w:cstheme="minorHAnsi"/>
          <w:sz w:val="22"/>
        </w:rPr>
        <w:t xml:space="preserve"> </w:t>
      </w:r>
      <w:r w:rsidRPr="00E74D83">
        <w:rPr>
          <w:rFonts w:asciiTheme="minorHAnsi" w:hAnsiTheme="minorHAnsi" w:cstheme="minorHAnsi"/>
          <w:sz w:val="22"/>
        </w:rPr>
        <w:t xml:space="preserve">upravený na podmienky svojho projektu predkladá prijímateľ ako prílohu </w:t>
      </w:r>
      <w:r w:rsidR="00FB5C41" w:rsidRPr="00E74D83">
        <w:rPr>
          <w:rFonts w:asciiTheme="minorHAnsi" w:hAnsiTheme="minorHAnsi" w:cstheme="minorHAnsi"/>
          <w:sz w:val="22"/>
        </w:rPr>
        <w:t>ku každému typu</w:t>
      </w:r>
      <w:r w:rsidRPr="00E74D83">
        <w:rPr>
          <w:rFonts w:asciiTheme="minorHAnsi" w:hAnsiTheme="minorHAnsi" w:cstheme="minorHAnsi"/>
          <w:sz w:val="22"/>
        </w:rPr>
        <w:t xml:space="preserve"> monitorovacej správy za</w:t>
      </w:r>
      <w:r w:rsidR="00485895" w:rsidRPr="00E74D83">
        <w:rPr>
          <w:rFonts w:asciiTheme="minorHAnsi" w:hAnsiTheme="minorHAnsi" w:cstheme="minorHAnsi"/>
          <w:sz w:val="22"/>
        </w:rPr>
        <w:t> </w:t>
      </w:r>
      <w:r w:rsidRPr="00E74D83">
        <w:rPr>
          <w:rFonts w:asciiTheme="minorHAnsi" w:hAnsiTheme="minorHAnsi" w:cstheme="minorHAnsi"/>
          <w:sz w:val="22"/>
        </w:rPr>
        <w:t>každý kalendárny rok (predchádzajúci roku predloženia monitorovacej správy), v ktorom sa infraštruktúra hospodársky využívala.</w:t>
      </w:r>
    </w:p>
    <w:p w14:paraId="211F0235" w14:textId="0C396F28" w:rsidR="008E73CF" w:rsidRPr="00E74D83" w:rsidRDefault="008E73CF" w:rsidP="00E74D83">
      <w:pPr>
        <w:pStyle w:val="Odsekzoznamu"/>
        <w:numPr>
          <w:ilvl w:val="0"/>
          <w:numId w:val="5"/>
        </w:numPr>
        <w:spacing w:before="120" w:line="259" w:lineRule="auto"/>
        <w:ind w:left="714" w:hanging="357"/>
        <w:contextualSpacing w:val="0"/>
        <w:rPr>
          <w:rFonts w:asciiTheme="minorHAnsi" w:hAnsiTheme="minorHAnsi" w:cstheme="minorHAnsi"/>
          <w:sz w:val="22"/>
        </w:rPr>
      </w:pPr>
      <w:r w:rsidRPr="00E74D83">
        <w:rPr>
          <w:rFonts w:asciiTheme="minorHAnsi" w:hAnsiTheme="minorHAnsi" w:cstheme="minorHAnsi"/>
          <w:b/>
          <w:sz w:val="22"/>
        </w:rPr>
        <w:t>Prijímateľ musí byť schopný jednoznačne preukázať doplnkovosť hospodárskeho</w:t>
      </w:r>
      <w:r w:rsidR="001E224C" w:rsidRPr="00E74D83">
        <w:rPr>
          <w:rFonts w:asciiTheme="minorHAnsi" w:hAnsiTheme="minorHAnsi" w:cstheme="minorHAnsi"/>
          <w:b/>
          <w:sz w:val="22"/>
        </w:rPr>
        <w:t xml:space="preserve"> využitia infraštruktúry počas</w:t>
      </w:r>
      <w:r w:rsidRPr="00E74D83">
        <w:rPr>
          <w:rFonts w:asciiTheme="minorHAnsi" w:hAnsiTheme="minorHAnsi" w:cstheme="minorHAnsi"/>
          <w:b/>
          <w:sz w:val="22"/>
        </w:rPr>
        <w:t xml:space="preserve"> realizácie </w:t>
      </w:r>
      <w:r w:rsidR="001E224C" w:rsidRPr="00E74D83">
        <w:rPr>
          <w:rFonts w:asciiTheme="minorHAnsi" w:hAnsiTheme="minorHAnsi" w:cstheme="minorHAnsi"/>
          <w:b/>
          <w:sz w:val="22"/>
        </w:rPr>
        <w:t>a</w:t>
      </w:r>
      <w:r w:rsidRPr="00E74D83">
        <w:rPr>
          <w:rFonts w:asciiTheme="minorHAnsi" w:hAnsiTheme="minorHAnsi" w:cstheme="minorHAnsi"/>
          <w:b/>
          <w:sz w:val="22"/>
        </w:rPr>
        <w:t xml:space="preserve"> počas obdobia udržateľnosti projektu.</w:t>
      </w:r>
      <w:r w:rsidRPr="00E74D83">
        <w:rPr>
          <w:rFonts w:asciiTheme="minorHAnsi" w:hAnsiTheme="minorHAnsi" w:cstheme="minorHAnsi"/>
          <w:sz w:val="22"/>
        </w:rPr>
        <w:t xml:space="preserve"> </w:t>
      </w:r>
      <w:r w:rsidR="0069296A">
        <w:rPr>
          <w:rFonts w:asciiTheme="minorHAnsi" w:hAnsiTheme="minorHAnsi" w:cstheme="minorHAnsi"/>
          <w:sz w:val="22"/>
        </w:rPr>
        <w:t>SO</w:t>
      </w:r>
      <w:r w:rsidRPr="00E74D83">
        <w:rPr>
          <w:rFonts w:asciiTheme="minorHAnsi" w:hAnsiTheme="minorHAnsi" w:cstheme="minorHAnsi"/>
          <w:sz w:val="22"/>
        </w:rPr>
        <w:t xml:space="preserve"> </w:t>
      </w:r>
      <w:r w:rsidR="00485895" w:rsidRPr="00E74D83">
        <w:rPr>
          <w:rFonts w:asciiTheme="minorHAnsi" w:hAnsiTheme="minorHAnsi" w:cstheme="minorHAnsi"/>
          <w:sz w:val="22"/>
        </w:rPr>
        <w:t xml:space="preserve">sleduje </w:t>
      </w:r>
      <w:r w:rsidRPr="00E74D83">
        <w:rPr>
          <w:rFonts w:asciiTheme="minorHAnsi" w:hAnsiTheme="minorHAnsi" w:cstheme="minorHAnsi"/>
          <w:sz w:val="22"/>
        </w:rPr>
        <w:t xml:space="preserve">dodržiavanie stanovených pravidiel počas </w:t>
      </w:r>
      <w:r w:rsidR="00485895" w:rsidRPr="00E74D83">
        <w:rPr>
          <w:rFonts w:asciiTheme="minorHAnsi" w:hAnsiTheme="minorHAnsi" w:cstheme="minorHAnsi"/>
          <w:sz w:val="22"/>
        </w:rPr>
        <w:t xml:space="preserve">celého </w:t>
      </w:r>
      <w:r w:rsidRPr="00E74D83">
        <w:rPr>
          <w:rFonts w:asciiTheme="minorHAnsi" w:hAnsiTheme="minorHAnsi" w:cstheme="minorHAnsi"/>
          <w:sz w:val="22"/>
        </w:rPr>
        <w:t>obdobia udržateľnosti projektu. Na</w:t>
      </w:r>
      <w:r w:rsidR="00705004" w:rsidRPr="00E74D83">
        <w:rPr>
          <w:rFonts w:asciiTheme="minorHAnsi" w:hAnsiTheme="minorHAnsi" w:cstheme="minorHAnsi"/>
          <w:sz w:val="22"/>
        </w:rPr>
        <w:t> </w:t>
      </w:r>
      <w:r w:rsidRPr="00E74D83">
        <w:rPr>
          <w:rFonts w:asciiTheme="minorHAnsi" w:hAnsiTheme="minorHAnsi" w:cstheme="minorHAnsi"/>
          <w:sz w:val="22"/>
        </w:rPr>
        <w:t xml:space="preserve">preukázanie sledovania doplnkového charakteru hospodárskeho využívania infraštruktúry prijímateľ uchováva podpornú dokumentáciu (napr. účtovné záznamy, rozvrh učebne, časový harmonogram komerčného prenájmu, zmluvy o prenájme a pod.). Prijímateľ sleduje využitie kapacity vždy pre konkrétny kalendárny rok. </w:t>
      </w:r>
      <w:r w:rsidR="0069296A">
        <w:rPr>
          <w:rFonts w:asciiTheme="minorHAnsi" w:hAnsiTheme="minorHAnsi" w:cstheme="minorHAnsi"/>
          <w:sz w:val="22"/>
        </w:rPr>
        <w:t>SO</w:t>
      </w:r>
      <w:r w:rsidRPr="00E74D83">
        <w:rPr>
          <w:rFonts w:asciiTheme="minorHAnsi" w:hAnsiTheme="minorHAnsi" w:cstheme="minorHAnsi"/>
          <w:sz w:val="22"/>
        </w:rPr>
        <w:t xml:space="preserve"> je oprávnený v priebehu </w:t>
      </w:r>
      <w:r w:rsidR="00290DE8" w:rsidRPr="00E74D83">
        <w:rPr>
          <w:rFonts w:asciiTheme="minorHAnsi" w:hAnsiTheme="minorHAnsi" w:cstheme="minorHAnsi"/>
          <w:sz w:val="22"/>
        </w:rPr>
        <w:t>finančnej kontroly na mieste</w:t>
      </w:r>
      <w:r w:rsidRPr="00E74D83">
        <w:rPr>
          <w:rFonts w:asciiTheme="minorHAnsi" w:hAnsiTheme="minorHAnsi" w:cstheme="minorHAnsi"/>
          <w:sz w:val="22"/>
        </w:rPr>
        <w:t xml:space="preserve"> vyžiadať si tieto dokumenty a prijímateľ je povinný ich predložiť. </w:t>
      </w:r>
    </w:p>
    <w:p w14:paraId="3DA4725C" w14:textId="647527A9" w:rsidR="008E73CF" w:rsidRPr="00E74D83" w:rsidRDefault="001E224C" w:rsidP="00E74D83">
      <w:pPr>
        <w:pStyle w:val="Odsekzoznamu"/>
        <w:numPr>
          <w:ilvl w:val="0"/>
          <w:numId w:val="5"/>
        </w:numPr>
        <w:spacing w:before="120" w:line="259" w:lineRule="auto"/>
        <w:ind w:left="714" w:hanging="357"/>
        <w:contextualSpacing w:val="0"/>
        <w:rPr>
          <w:rFonts w:asciiTheme="minorHAnsi" w:hAnsiTheme="minorHAnsi" w:cstheme="minorHAnsi"/>
          <w:b/>
          <w:sz w:val="22"/>
        </w:rPr>
      </w:pPr>
      <w:r w:rsidRPr="00E74D83">
        <w:rPr>
          <w:rFonts w:asciiTheme="minorHAnsi" w:hAnsiTheme="minorHAnsi" w:cstheme="minorHAnsi"/>
          <w:b/>
          <w:sz w:val="22"/>
        </w:rPr>
        <w:t>Prijímateľ via</w:t>
      </w:r>
      <w:r w:rsidR="00290DE8" w:rsidRPr="00E74D83">
        <w:rPr>
          <w:rFonts w:asciiTheme="minorHAnsi" w:hAnsiTheme="minorHAnsi" w:cstheme="minorHAnsi"/>
          <w:b/>
          <w:sz w:val="22"/>
        </w:rPr>
        <w:t>cerých podporených infraštruktúr</w:t>
      </w:r>
      <w:r w:rsidRPr="00E74D83">
        <w:rPr>
          <w:rFonts w:asciiTheme="minorHAnsi" w:hAnsiTheme="minorHAnsi" w:cstheme="minorHAnsi"/>
          <w:b/>
          <w:sz w:val="22"/>
        </w:rPr>
        <w:t>, kto</w:t>
      </w:r>
      <w:r w:rsidR="008E73CF" w:rsidRPr="00E74D83">
        <w:rPr>
          <w:rFonts w:asciiTheme="minorHAnsi" w:hAnsiTheme="minorHAnsi" w:cstheme="minorHAnsi"/>
          <w:b/>
          <w:sz w:val="22"/>
        </w:rPr>
        <w:t xml:space="preserve">ré sú používané na hospodárske účely, stanovené podmienky </w:t>
      </w:r>
      <w:r w:rsidRPr="00E74D83">
        <w:rPr>
          <w:rFonts w:asciiTheme="minorHAnsi" w:hAnsiTheme="minorHAnsi" w:cstheme="minorHAnsi"/>
          <w:b/>
          <w:sz w:val="22"/>
        </w:rPr>
        <w:t>sleduje pri každej infraštruktúre samostatne</w:t>
      </w:r>
      <w:r w:rsidR="008E73CF" w:rsidRPr="00E74D83">
        <w:rPr>
          <w:rFonts w:asciiTheme="minorHAnsi" w:hAnsiTheme="minorHAnsi" w:cstheme="minorHAnsi"/>
          <w:b/>
          <w:sz w:val="22"/>
        </w:rPr>
        <w:t xml:space="preserve">. </w:t>
      </w:r>
    </w:p>
    <w:p w14:paraId="46685C0D" w14:textId="3EF2CBC1" w:rsidR="008E73CF" w:rsidRPr="00E74D83" w:rsidRDefault="008E73CF" w:rsidP="00E74D83">
      <w:pPr>
        <w:pStyle w:val="Odsekzoznamu"/>
        <w:numPr>
          <w:ilvl w:val="0"/>
          <w:numId w:val="5"/>
        </w:numPr>
        <w:spacing w:before="120" w:line="259" w:lineRule="auto"/>
        <w:ind w:left="714" w:hanging="357"/>
        <w:contextualSpacing w:val="0"/>
        <w:rPr>
          <w:rFonts w:asciiTheme="minorHAnsi" w:hAnsiTheme="minorHAnsi" w:cstheme="minorHAnsi"/>
          <w:sz w:val="22"/>
        </w:rPr>
      </w:pPr>
      <w:r w:rsidRPr="00E74D83">
        <w:rPr>
          <w:rFonts w:asciiTheme="minorHAnsi" w:hAnsiTheme="minorHAnsi" w:cstheme="minorHAnsi"/>
          <w:b/>
          <w:sz w:val="22"/>
        </w:rPr>
        <w:t>Ceny, za ktoré budú iným podnikom</w:t>
      </w:r>
      <w:r w:rsidRPr="00E74D83">
        <w:rPr>
          <w:rStyle w:val="Odkaznapoznmkupodiarou"/>
          <w:rFonts w:asciiTheme="minorHAnsi" w:eastAsia="Times New Roman" w:hAnsiTheme="minorHAnsi" w:cstheme="minorHAnsi"/>
          <w:b/>
          <w:sz w:val="22"/>
          <w:lang w:eastAsia="sk-SK"/>
        </w:rPr>
        <w:footnoteReference w:id="6"/>
      </w:r>
      <w:r w:rsidRPr="00E74D83">
        <w:rPr>
          <w:rFonts w:asciiTheme="minorHAnsi" w:hAnsiTheme="minorHAnsi" w:cstheme="minorHAnsi"/>
          <w:b/>
          <w:sz w:val="22"/>
        </w:rPr>
        <w:t xml:space="preserve"> ponúkané a predávané služby pochádzajúce z</w:t>
      </w:r>
      <w:r w:rsidR="00290DE8" w:rsidRPr="00E74D83">
        <w:rPr>
          <w:rFonts w:asciiTheme="minorHAnsi" w:hAnsiTheme="minorHAnsi" w:cstheme="minorHAnsi"/>
          <w:b/>
          <w:sz w:val="22"/>
        </w:rPr>
        <w:t> </w:t>
      </w:r>
      <w:r w:rsidRPr="00E74D83">
        <w:rPr>
          <w:rFonts w:asciiTheme="minorHAnsi" w:hAnsiTheme="minorHAnsi" w:cstheme="minorHAnsi"/>
          <w:b/>
          <w:sz w:val="22"/>
        </w:rPr>
        <w:t>hospodárskych činností, budú zodpovedať trhovým cenám.</w:t>
      </w:r>
      <w:r w:rsidRPr="00E74D83">
        <w:rPr>
          <w:rFonts w:asciiTheme="minorHAnsi" w:hAnsiTheme="minorHAnsi" w:cstheme="minorHAnsi"/>
          <w:sz w:val="22"/>
        </w:rPr>
        <w:t xml:space="preserve"> Prijímateľ na požiadanie predloží spôsob ich určenia. </w:t>
      </w:r>
    </w:p>
    <w:p w14:paraId="2CA04261" w14:textId="77777777" w:rsidR="008E73CF" w:rsidRPr="00E74D83" w:rsidRDefault="008E73CF" w:rsidP="00E74D83">
      <w:pPr>
        <w:pStyle w:val="Odsekzoznamu"/>
        <w:numPr>
          <w:ilvl w:val="0"/>
          <w:numId w:val="5"/>
        </w:numPr>
        <w:spacing w:before="120" w:line="259" w:lineRule="auto"/>
        <w:ind w:left="714" w:hanging="357"/>
        <w:contextualSpacing w:val="0"/>
        <w:rPr>
          <w:rFonts w:asciiTheme="minorHAnsi" w:hAnsiTheme="minorHAnsi" w:cstheme="minorHAnsi"/>
          <w:sz w:val="22"/>
        </w:rPr>
      </w:pPr>
      <w:r w:rsidRPr="00E74D83">
        <w:rPr>
          <w:rFonts w:asciiTheme="minorHAnsi" w:hAnsiTheme="minorHAnsi" w:cstheme="minorHAnsi"/>
          <w:sz w:val="22"/>
        </w:rPr>
        <w:t>Prístup k</w:t>
      </w:r>
      <w:r w:rsidR="001E224C" w:rsidRPr="00E74D83">
        <w:rPr>
          <w:rFonts w:asciiTheme="minorHAnsi" w:hAnsiTheme="minorHAnsi" w:cstheme="minorHAnsi"/>
          <w:sz w:val="22"/>
        </w:rPr>
        <w:t xml:space="preserve"> podporenej </w:t>
      </w:r>
      <w:r w:rsidRPr="00E74D83">
        <w:rPr>
          <w:rFonts w:asciiTheme="minorHAnsi" w:hAnsiTheme="minorHAnsi" w:cstheme="minorHAnsi"/>
          <w:sz w:val="22"/>
        </w:rPr>
        <w:t>infraštruktúre bude otvorený pre viacero používateľov a bude sa poskytovať na transparentnom a nediskriminačnom základe</w:t>
      </w:r>
      <w:r w:rsidRPr="00E74D83">
        <w:rPr>
          <w:rStyle w:val="Odkaznapoznmkupodiarou"/>
          <w:rFonts w:asciiTheme="minorHAnsi" w:eastAsia="Times New Roman" w:hAnsiTheme="minorHAnsi" w:cstheme="minorHAnsi"/>
          <w:sz w:val="22"/>
          <w:lang w:eastAsia="sk-SK"/>
        </w:rPr>
        <w:footnoteReference w:id="7"/>
      </w:r>
      <w:r w:rsidRPr="00E74D83">
        <w:rPr>
          <w:rStyle w:val="Odkaznapoznmkupodiarou"/>
          <w:rFonts w:asciiTheme="minorHAnsi" w:eastAsia="Times New Roman" w:hAnsiTheme="minorHAnsi" w:cstheme="minorHAnsi"/>
          <w:sz w:val="22"/>
          <w:lang w:eastAsia="sk-SK"/>
        </w:rPr>
        <w:t>.</w:t>
      </w:r>
      <w:r w:rsidRPr="00E74D83">
        <w:rPr>
          <w:rFonts w:asciiTheme="minorHAnsi" w:eastAsia="Times New Roman" w:hAnsiTheme="minorHAnsi" w:cstheme="minorHAnsi"/>
          <w:sz w:val="22"/>
          <w:lang w:eastAsia="sk-SK"/>
        </w:rPr>
        <w:t xml:space="preserve"> </w:t>
      </w:r>
    </w:p>
    <w:p w14:paraId="1B1F4D0C" w14:textId="77777777" w:rsidR="008E73CF" w:rsidRPr="00E74D83" w:rsidRDefault="008E73CF" w:rsidP="00E74D83">
      <w:pPr>
        <w:spacing w:before="120" w:line="259" w:lineRule="auto"/>
        <w:rPr>
          <w:rFonts w:asciiTheme="minorHAnsi" w:hAnsiTheme="minorHAnsi" w:cstheme="minorHAnsi"/>
          <w:sz w:val="22"/>
        </w:rPr>
      </w:pPr>
    </w:p>
    <w:p w14:paraId="1ADB759E" w14:textId="1269FE1E" w:rsidR="00435025" w:rsidRPr="00E74D83" w:rsidRDefault="008E73CF" w:rsidP="00E74D83">
      <w:pPr>
        <w:spacing w:before="120" w:line="259" w:lineRule="auto"/>
        <w:rPr>
          <w:rFonts w:asciiTheme="minorHAnsi" w:hAnsiTheme="minorHAnsi" w:cstheme="minorHAnsi"/>
          <w:sz w:val="22"/>
        </w:rPr>
      </w:pPr>
      <w:bookmarkStart w:id="8" w:name="_Hlk171590852"/>
      <w:r w:rsidRPr="00E74D83">
        <w:rPr>
          <w:rFonts w:asciiTheme="minorHAnsi" w:hAnsiTheme="minorHAnsi" w:cstheme="minorHAnsi"/>
          <w:sz w:val="22"/>
        </w:rPr>
        <w:lastRenderedPageBreak/>
        <w:t>Ak sa prijímateľ počas realizácie alebo počas obdobia udržateľnosti projektu rozhodne, že má záujem začať využívať podporenú infraštruktúru aj doplnkovo hospodársky</w:t>
      </w:r>
      <w:bookmarkEnd w:id="8"/>
      <w:r w:rsidRPr="00E74D83">
        <w:rPr>
          <w:rFonts w:asciiTheme="minorHAnsi" w:hAnsiTheme="minorHAnsi" w:cstheme="minorHAnsi"/>
          <w:sz w:val="22"/>
        </w:rPr>
        <w:t xml:space="preserve">, bezodkladne predloží </w:t>
      </w:r>
      <w:r w:rsidR="0069296A">
        <w:rPr>
          <w:rFonts w:asciiTheme="minorHAnsi" w:hAnsiTheme="minorHAnsi" w:cstheme="minorHAnsi"/>
          <w:sz w:val="22"/>
        </w:rPr>
        <w:t>SO</w:t>
      </w:r>
      <w:r w:rsidRPr="00E74D83">
        <w:rPr>
          <w:rFonts w:asciiTheme="minorHAnsi" w:hAnsiTheme="minorHAnsi" w:cstheme="minorHAnsi"/>
          <w:sz w:val="22"/>
        </w:rPr>
        <w:t xml:space="preserve"> </w:t>
      </w:r>
      <w:r w:rsidRPr="00E74D83">
        <w:rPr>
          <w:rFonts w:asciiTheme="minorHAnsi" w:hAnsiTheme="minorHAnsi" w:cstheme="minorHAnsi"/>
          <w:b/>
          <w:sz w:val="22"/>
        </w:rPr>
        <w:t>Oznámenie o doplnkovom využívaní podporenej infraštruktúry</w:t>
      </w:r>
      <w:r w:rsidRPr="00E74D83">
        <w:rPr>
          <w:rFonts w:asciiTheme="minorHAnsi" w:hAnsiTheme="minorHAnsi" w:cstheme="minorHAnsi"/>
          <w:sz w:val="22"/>
        </w:rPr>
        <w:t xml:space="preserve">, ktorého súčasťou musí byť aj </w:t>
      </w:r>
      <w:r w:rsidRPr="00E74D83">
        <w:rPr>
          <w:rFonts w:asciiTheme="minorHAnsi" w:hAnsiTheme="minorHAnsi" w:cstheme="minorHAnsi"/>
          <w:b/>
          <w:sz w:val="22"/>
        </w:rPr>
        <w:t>Vyhlásenie o využití podporenej infraštruktúry na hospodárske účely</w:t>
      </w:r>
      <w:r w:rsidR="00435025" w:rsidRPr="00E74D83">
        <w:rPr>
          <w:rFonts w:asciiTheme="minorHAnsi" w:eastAsia="Times New Roman" w:hAnsiTheme="minorHAnsi" w:cstheme="minorHAnsi"/>
          <w:sz w:val="22"/>
          <w:lang w:eastAsia="sk-SK"/>
        </w:rPr>
        <w:t xml:space="preserve"> (</w:t>
      </w:r>
      <w:r w:rsidR="003F6B47">
        <w:rPr>
          <w:rFonts w:asciiTheme="minorHAnsi" w:eastAsia="Times New Roman" w:hAnsiTheme="minorHAnsi" w:cstheme="minorHAnsi"/>
          <w:sz w:val="22"/>
          <w:lang w:eastAsia="sk-SK"/>
        </w:rPr>
        <w:t xml:space="preserve">viď </w:t>
      </w:r>
      <w:r w:rsidR="00435025" w:rsidRPr="00E74D83">
        <w:rPr>
          <w:rFonts w:asciiTheme="minorHAnsi" w:eastAsia="Times New Roman" w:hAnsiTheme="minorHAnsi" w:cstheme="minorHAnsi"/>
          <w:sz w:val="22"/>
          <w:lang w:eastAsia="sk-SK"/>
        </w:rPr>
        <w:t xml:space="preserve">Príloha č. </w:t>
      </w:r>
      <w:r w:rsidR="003F6B47">
        <w:rPr>
          <w:rFonts w:asciiTheme="minorHAnsi" w:eastAsia="Times New Roman" w:hAnsiTheme="minorHAnsi" w:cstheme="minorHAnsi"/>
          <w:sz w:val="22"/>
          <w:lang w:eastAsia="sk-SK"/>
        </w:rPr>
        <w:t>1 tohto dokumentu</w:t>
      </w:r>
      <w:r w:rsidR="00435025" w:rsidRPr="00E74D83">
        <w:rPr>
          <w:rFonts w:asciiTheme="minorHAnsi" w:eastAsia="Times New Roman" w:hAnsiTheme="minorHAnsi" w:cstheme="minorHAnsi"/>
          <w:sz w:val="22"/>
          <w:lang w:eastAsia="sk-SK"/>
        </w:rPr>
        <w:t xml:space="preserve">) </w:t>
      </w:r>
      <w:r w:rsidRPr="00E74D83">
        <w:rPr>
          <w:rFonts w:asciiTheme="minorHAnsi" w:hAnsiTheme="minorHAnsi" w:cstheme="minorHAnsi"/>
          <w:sz w:val="22"/>
        </w:rPr>
        <w:t>a</w:t>
      </w:r>
      <w:r w:rsidRPr="00E74D83">
        <w:rPr>
          <w:rFonts w:asciiTheme="minorHAnsi" w:hAnsiTheme="minorHAnsi" w:cstheme="minorHAnsi"/>
          <w:b/>
          <w:sz w:val="22"/>
        </w:rPr>
        <w:t> Výpočet ročnej kapacity infraštruktúry</w:t>
      </w:r>
      <w:r w:rsidR="00435025" w:rsidRPr="00E74D83">
        <w:rPr>
          <w:rFonts w:asciiTheme="minorHAnsi" w:hAnsiTheme="minorHAnsi" w:cstheme="minorHAnsi"/>
          <w:b/>
          <w:sz w:val="22"/>
        </w:rPr>
        <w:t xml:space="preserve"> </w:t>
      </w:r>
      <w:r w:rsidR="00435025" w:rsidRPr="00E74D83">
        <w:rPr>
          <w:rFonts w:asciiTheme="minorHAnsi" w:hAnsiTheme="minorHAnsi" w:cstheme="minorHAnsi"/>
          <w:sz w:val="22"/>
        </w:rPr>
        <w:t>(</w:t>
      </w:r>
      <w:r w:rsidR="003F6B47">
        <w:rPr>
          <w:rFonts w:asciiTheme="minorHAnsi" w:hAnsiTheme="minorHAnsi" w:cstheme="minorHAnsi"/>
          <w:sz w:val="22"/>
        </w:rPr>
        <w:t xml:space="preserve">viď </w:t>
      </w:r>
      <w:r w:rsidR="00435025" w:rsidRPr="00E74D83">
        <w:rPr>
          <w:rFonts w:asciiTheme="minorHAnsi" w:hAnsiTheme="minorHAnsi" w:cstheme="minorHAnsi"/>
          <w:sz w:val="22"/>
        </w:rPr>
        <w:t xml:space="preserve">Príloha č. </w:t>
      </w:r>
      <w:r w:rsidR="003F6B47">
        <w:rPr>
          <w:rFonts w:asciiTheme="minorHAnsi" w:hAnsiTheme="minorHAnsi" w:cstheme="minorHAnsi"/>
          <w:sz w:val="22"/>
        </w:rPr>
        <w:t>2 tohto dokumentu</w:t>
      </w:r>
      <w:r w:rsidR="00435025" w:rsidRPr="00E74D83">
        <w:rPr>
          <w:rFonts w:asciiTheme="minorHAnsi" w:hAnsiTheme="minorHAnsi" w:cstheme="minorHAnsi"/>
          <w:sz w:val="22"/>
        </w:rPr>
        <w:t>)</w:t>
      </w:r>
      <w:r w:rsidRPr="00E74D83">
        <w:rPr>
          <w:rFonts w:asciiTheme="minorHAnsi" w:hAnsiTheme="minorHAnsi" w:cstheme="minorHAnsi"/>
          <w:sz w:val="22"/>
        </w:rPr>
        <w:t xml:space="preserve">. </w:t>
      </w:r>
    </w:p>
    <w:p w14:paraId="703BE0F9" w14:textId="30816E55" w:rsidR="00435025"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Pri stanovení výpočtu 20</w:t>
      </w:r>
      <w:r w:rsidR="004F4C70">
        <w:rPr>
          <w:rFonts w:asciiTheme="minorHAnsi" w:hAnsiTheme="minorHAnsi" w:cstheme="minorHAnsi"/>
          <w:sz w:val="22"/>
        </w:rPr>
        <w:t xml:space="preserve"> </w:t>
      </w:r>
      <w:r w:rsidRPr="00E74D83">
        <w:rPr>
          <w:rFonts w:asciiTheme="minorHAnsi" w:hAnsiTheme="minorHAnsi" w:cstheme="minorHAnsi"/>
          <w:sz w:val="22"/>
        </w:rPr>
        <w:t>% podielu z celkovej ročnej kapacity</w:t>
      </w:r>
      <w:r w:rsidR="00435025" w:rsidRPr="00E74D83">
        <w:rPr>
          <w:rFonts w:asciiTheme="minorHAnsi" w:hAnsiTheme="minorHAnsi" w:cstheme="minorHAnsi"/>
          <w:sz w:val="22"/>
        </w:rPr>
        <w:t xml:space="preserve"> podporenej infraštruktúry</w:t>
      </w:r>
      <w:r w:rsidRPr="00E74D83">
        <w:rPr>
          <w:rFonts w:asciiTheme="minorHAnsi" w:hAnsiTheme="minorHAnsi" w:cstheme="minorHAnsi"/>
          <w:sz w:val="22"/>
        </w:rPr>
        <w:t xml:space="preserve">, ktorú bude na vlastné monitorovanie využívať a ktorú je potrebné uviesť vo vyhlásení, sa riadi </w:t>
      </w:r>
      <w:r w:rsidR="00435025" w:rsidRPr="00E74D83">
        <w:rPr>
          <w:rFonts w:asciiTheme="minorHAnsi" w:hAnsiTheme="minorHAnsi" w:cstheme="minorHAnsi"/>
          <w:sz w:val="22"/>
        </w:rPr>
        <w:t>podľa t</w:t>
      </w:r>
      <w:r w:rsidR="00E84AB6" w:rsidRPr="00E74D83">
        <w:rPr>
          <w:rFonts w:asciiTheme="minorHAnsi" w:hAnsiTheme="minorHAnsi" w:cstheme="minorHAnsi"/>
          <w:sz w:val="22"/>
        </w:rPr>
        <w:t>ých</w:t>
      </w:r>
      <w:r w:rsidR="00435025" w:rsidRPr="00E74D83">
        <w:rPr>
          <w:rFonts w:asciiTheme="minorHAnsi" w:hAnsiTheme="minorHAnsi" w:cstheme="minorHAnsi"/>
          <w:sz w:val="22"/>
        </w:rPr>
        <w:t xml:space="preserve">to </w:t>
      </w:r>
      <w:r w:rsidR="00E84AB6" w:rsidRPr="00E74D83">
        <w:rPr>
          <w:rFonts w:asciiTheme="minorHAnsi" w:hAnsiTheme="minorHAnsi" w:cstheme="minorHAnsi"/>
          <w:sz w:val="22"/>
        </w:rPr>
        <w:t>pravidiel a ich</w:t>
      </w:r>
      <w:r w:rsidRPr="00E74D83">
        <w:rPr>
          <w:rFonts w:asciiTheme="minorHAnsi" w:hAnsiTheme="minorHAnsi" w:cstheme="minorHAnsi"/>
          <w:sz w:val="22"/>
        </w:rPr>
        <w:t xml:space="preserve"> príloh</w:t>
      </w:r>
      <w:r w:rsidR="00290DE8" w:rsidRPr="00E74D83">
        <w:rPr>
          <w:rFonts w:asciiTheme="minorHAnsi" w:hAnsiTheme="minorHAnsi" w:cstheme="minorHAnsi"/>
          <w:sz w:val="22"/>
        </w:rPr>
        <w:t>y</w:t>
      </w:r>
      <w:r w:rsidRPr="00E74D83">
        <w:rPr>
          <w:rFonts w:asciiTheme="minorHAnsi" w:hAnsiTheme="minorHAnsi" w:cstheme="minorHAnsi"/>
          <w:sz w:val="22"/>
        </w:rPr>
        <w:t xml:space="preserve"> č. </w:t>
      </w:r>
      <w:r w:rsidR="003F6B47">
        <w:rPr>
          <w:rFonts w:asciiTheme="minorHAnsi" w:hAnsiTheme="minorHAnsi" w:cstheme="minorHAnsi"/>
          <w:sz w:val="22"/>
        </w:rPr>
        <w:t>2</w:t>
      </w:r>
      <w:r w:rsidR="005944F1">
        <w:rPr>
          <w:rFonts w:asciiTheme="minorHAnsi" w:hAnsiTheme="minorHAnsi" w:cstheme="minorHAnsi"/>
          <w:sz w:val="22"/>
        </w:rPr>
        <w:t xml:space="preserve"> tohto dokumentu</w:t>
      </w:r>
      <w:r w:rsidRPr="00E74D83">
        <w:rPr>
          <w:rFonts w:asciiTheme="minorHAnsi" w:hAnsiTheme="minorHAnsi" w:cstheme="minorHAnsi"/>
          <w:sz w:val="22"/>
        </w:rPr>
        <w:t xml:space="preserve">. </w:t>
      </w:r>
    </w:p>
    <w:p w14:paraId="4432A199" w14:textId="07467B4D" w:rsidR="008E73CF" w:rsidRPr="00E74D83" w:rsidRDefault="001D50EF" w:rsidP="00E74D83">
      <w:pPr>
        <w:spacing w:before="120" w:line="259" w:lineRule="auto"/>
        <w:rPr>
          <w:rFonts w:asciiTheme="minorHAnsi" w:hAnsiTheme="minorHAnsi" w:cstheme="minorHAnsi"/>
          <w:sz w:val="22"/>
        </w:rPr>
      </w:pPr>
      <w:r>
        <w:rPr>
          <w:rFonts w:asciiTheme="minorHAnsi" w:hAnsiTheme="minorHAnsi" w:cstheme="minorHAnsi"/>
          <w:sz w:val="22"/>
        </w:rPr>
        <w:t>SO</w:t>
      </w:r>
      <w:r w:rsidR="008E73CF" w:rsidRPr="00E74D83">
        <w:rPr>
          <w:rFonts w:asciiTheme="minorHAnsi" w:hAnsiTheme="minorHAnsi" w:cstheme="minorHAnsi"/>
          <w:sz w:val="22"/>
        </w:rPr>
        <w:t xml:space="preserve"> zašle stanovisko k doplnkovému využitiu infraštruktúry </w:t>
      </w:r>
      <w:r w:rsidR="008E73CF" w:rsidRPr="00E74D83">
        <w:rPr>
          <w:rFonts w:asciiTheme="minorHAnsi" w:hAnsiTheme="minorHAnsi" w:cstheme="minorHAnsi"/>
          <w:b/>
          <w:sz w:val="22"/>
        </w:rPr>
        <w:t>do 1 mesiaca</w:t>
      </w:r>
      <w:r w:rsidR="008E73CF" w:rsidRPr="00E74D83">
        <w:rPr>
          <w:rFonts w:asciiTheme="minorHAnsi" w:hAnsiTheme="minorHAnsi" w:cstheme="minorHAnsi"/>
          <w:sz w:val="22"/>
        </w:rPr>
        <w:t xml:space="preserve"> od doručenia Oznámenia o doplnkovom využívaní podporenej infraštruktúry. </w:t>
      </w:r>
    </w:p>
    <w:p w14:paraId="656E4F35" w14:textId="35F4E781" w:rsidR="008E73CF" w:rsidRPr="00E74D83" w:rsidRDefault="001D50EF" w:rsidP="00E74D83">
      <w:pPr>
        <w:spacing w:before="120" w:line="259" w:lineRule="auto"/>
        <w:rPr>
          <w:rFonts w:asciiTheme="minorHAnsi" w:hAnsiTheme="minorHAnsi" w:cstheme="minorHAnsi"/>
          <w:strike/>
          <w:sz w:val="22"/>
        </w:rPr>
      </w:pPr>
      <w:r>
        <w:rPr>
          <w:rFonts w:asciiTheme="minorHAnsi" w:hAnsiTheme="minorHAnsi" w:cstheme="minorHAnsi"/>
          <w:sz w:val="22"/>
        </w:rPr>
        <w:t>SO</w:t>
      </w:r>
      <w:r w:rsidR="008E73CF" w:rsidRPr="00E74D83">
        <w:rPr>
          <w:rFonts w:asciiTheme="minorHAnsi" w:hAnsiTheme="minorHAnsi" w:cstheme="minorHAnsi"/>
          <w:sz w:val="22"/>
        </w:rPr>
        <w:t xml:space="preserve"> pred vydaním stanoviska overí a skontroluje, či sú splnené kritériá doplnkového využitia infraštruktúry (hospodárske využitie infraštruktúry zostáva čisto vedľajšie, tzn. že ide o činnosť, ktorá je priamo spojená s prevádzkou infraštruktúry a je pre ňu nevyhnutná alebo je neoddeliteľne previazaná s hlavným využitím na činnosti nehospodárskeho charakteru a pričom jej rozsah je obmedzený), ako aj ďalšie podmienky jej využívania a v prípade pochybnosti o ich napĺňaní vyzve prijímateľa na doplnenie alebo úpravu. </w:t>
      </w:r>
    </w:p>
    <w:p w14:paraId="53E1A248" w14:textId="0F6211FD"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 xml:space="preserve">Ak hospodárske využitie kapacity infraštruktúry určenej prioritne na nehospodárske využitie prekročí 20% jej ročnej kapacity, nebude jej financovanie ako celok patriť mimo rozsah pôsobnosti pravidiel štátnej pomoci, ale v zmysle ods. 205 oznámenia Komisie o pojme štátna pomoc uvedenom v odseku 107 ods. 1 Zmluvy o fungovaní Európskej únie (2016/C 262/01) </w:t>
      </w:r>
      <w:r w:rsidRPr="00E74D83">
        <w:rPr>
          <w:rFonts w:asciiTheme="minorHAnsi" w:hAnsiTheme="minorHAnsi" w:cstheme="minorHAnsi"/>
          <w:i/>
          <w:sz w:val="22"/>
        </w:rPr>
        <w:t>„Ak sa určitá infraštruktúra používa na</w:t>
      </w:r>
      <w:r w:rsidR="00290DE8" w:rsidRPr="00E74D83">
        <w:rPr>
          <w:rFonts w:asciiTheme="minorHAnsi" w:hAnsiTheme="minorHAnsi" w:cstheme="minorHAnsi"/>
          <w:i/>
          <w:sz w:val="22"/>
        </w:rPr>
        <w:t> </w:t>
      </w:r>
      <w:r w:rsidRPr="00E74D83">
        <w:rPr>
          <w:rFonts w:asciiTheme="minorHAnsi" w:hAnsiTheme="minorHAnsi" w:cstheme="minorHAnsi"/>
          <w:i/>
          <w:sz w:val="22"/>
        </w:rPr>
        <w:t xml:space="preserve">hospodárske aj nehospodárske činnosti, pravidlá štátnej pomoci sa budú vzťahovať na verejné financovanie jej vybudovania iba v tom rozsahu, v akom pokrýva náklady spojené s hospodárskymi činnosťami“, </w:t>
      </w:r>
      <w:proofErr w:type="spellStart"/>
      <w:r w:rsidRPr="00E74D83">
        <w:rPr>
          <w:rFonts w:asciiTheme="minorHAnsi" w:hAnsiTheme="minorHAnsi" w:cstheme="minorHAnsi"/>
          <w:i/>
          <w:sz w:val="22"/>
        </w:rPr>
        <w:t>t.j</w:t>
      </w:r>
      <w:proofErr w:type="spellEnd"/>
      <w:r w:rsidRPr="00E74D83">
        <w:rPr>
          <w:rFonts w:asciiTheme="minorHAnsi" w:hAnsiTheme="minorHAnsi" w:cstheme="minorHAnsi"/>
          <w:i/>
          <w:sz w:val="22"/>
        </w:rPr>
        <w:t xml:space="preserve">. </w:t>
      </w:r>
      <w:r w:rsidRPr="00E74D83">
        <w:rPr>
          <w:rFonts w:asciiTheme="minorHAnsi" w:hAnsiTheme="minorHAnsi" w:cstheme="minorHAnsi"/>
          <w:sz w:val="22"/>
        </w:rPr>
        <w:t xml:space="preserve">pravidlá </w:t>
      </w:r>
      <w:r w:rsidR="00435025" w:rsidRPr="00E74D83">
        <w:rPr>
          <w:rFonts w:asciiTheme="minorHAnsi" w:hAnsiTheme="minorHAnsi" w:cstheme="minorHAnsi"/>
          <w:sz w:val="22"/>
        </w:rPr>
        <w:t xml:space="preserve">sa uplatnia </w:t>
      </w:r>
      <w:r w:rsidRPr="00E74D83">
        <w:rPr>
          <w:rFonts w:asciiTheme="minorHAnsi" w:hAnsiTheme="minorHAnsi" w:cstheme="minorHAnsi"/>
          <w:sz w:val="22"/>
        </w:rPr>
        <w:t xml:space="preserve">na náklady spojené s hospodárskymi </w:t>
      </w:r>
      <w:r w:rsidRPr="00431B6E">
        <w:rPr>
          <w:rFonts w:asciiTheme="minorHAnsi" w:hAnsiTheme="minorHAnsi" w:cstheme="minorHAnsi"/>
          <w:sz w:val="22"/>
        </w:rPr>
        <w:t xml:space="preserve">činnosťami. V podmienkach </w:t>
      </w:r>
      <w:r w:rsidR="001D50EF" w:rsidRPr="00431B6E">
        <w:rPr>
          <w:rFonts w:asciiTheme="minorHAnsi" w:hAnsiTheme="minorHAnsi" w:cstheme="minorHAnsi"/>
          <w:sz w:val="22"/>
        </w:rPr>
        <w:t>SO</w:t>
      </w:r>
      <w:r w:rsidRPr="00431B6E">
        <w:rPr>
          <w:rFonts w:asciiTheme="minorHAnsi" w:hAnsiTheme="minorHAnsi" w:cstheme="minorHAnsi"/>
          <w:sz w:val="22"/>
        </w:rPr>
        <w:t xml:space="preserve"> sa uvedená situácia riadi ustanoveniami </w:t>
      </w:r>
      <w:r w:rsidR="00435025" w:rsidRPr="00431B6E">
        <w:rPr>
          <w:rFonts w:asciiTheme="minorHAnsi" w:hAnsiTheme="minorHAnsi" w:cstheme="minorHAnsi"/>
          <w:sz w:val="22"/>
        </w:rPr>
        <w:t>Z</w:t>
      </w:r>
      <w:r w:rsidRPr="00431B6E">
        <w:rPr>
          <w:rFonts w:asciiTheme="minorHAnsi" w:hAnsiTheme="minorHAnsi" w:cstheme="minorHAnsi"/>
          <w:sz w:val="22"/>
        </w:rPr>
        <w:t>mluvy o poskytnutí NFP.</w:t>
      </w:r>
      <w:r w:rsidRPr="00E74D83">
        <w:rPr>
          <w:rFonts w:asciiTheme="minorHAnsi" w:hAnsiTheme="minorHAnsi" w:cstheme="minorHAnsi"/>
          <w:sz w:val="22"/>
        </w:rPr>
        <w:t xml:space="preserve"> </w:t>
      </w:r>
    </w:p>
    <w:p w14:paraId="02F78D30" w14:textId="094CC010"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Povinnosti prijímateľa, ktoré pre neho vyplývajú z právneho poriadku SR alebo z právnych aktov EÚ vo</w:t>
      </w:r>
      <w:r w:rsidR="00290DE8" w:rsidRPr="00E74D83">
        <w:rPr>
          <w:rFonts w:asciiTheme="minorHAnsi" w:hAnsiTheme="minorHAnsi" w:cstheme="minorHAnsi"/>
          <w:sz w:val="22"/>
        </w:rPr>
        <w:t> </w:t>
      </w:r>
      <w:r w:rsidRPr="00E74D83">
        <w:rPr>
          <w:rFonts w:asciiTheme="minorHAnsi" w:hAnsiTheme="minorHAnsi" w:cstheme="minorHAnsi"/>
          <w:sz w:val="22"/>
        </w:rPr>
        <w:t>vzťahu k štátnej pomoci, zostávajú plnohodnotne aplikovateľné bez ohľadu na ich aktuálny výklad poskytnutý v t</w:t>
      </w:r>
      <w:r w:rsidR="00290DE8" w:rsidRPr="00E74D83">
        <w:rPr>
          <w:rFonts w:asciiTheme="minorHAnsi" w:hAnsiTheme="minorHAnsi" w:cstheme="minorHAnsi"/>
          <w:sz w:val="22"/>
        </w:rPr>
        <w:t>ých</w:t>
      </w:r>
      <w:r w:rsidRPr="00E74D83">
        <w:rPr>
          <w:rFonts w:asciiTheme="minorHAnsi" w:hAnsiTheme="minorHAnsi" w:cstheme="minorHAnsi"/>
          <w:sz w:val="22"/>
        </w:rPr>
        <w:t xml:space="preserve">to </w:t>
      </w:r>
      <w:r w:rsidR="00290DE8" w:rsidRPr="00E74D83">
        <w:rPr>
          <w:rFonts w:asciiTheme="minorHAnsi" w:hAnsiTheme="minorHAnsi" w:cstheme="minorHAnsi"/>
          <w:sz w:val="22"/>
        </w:rPr>
        <w:t>pravidlách</w:t>
      </w:r>
      <w:r w:rsidRPr="00E74D83">
        <w:rPr>
          <w:rFonts w:asciiTheme="minorHAnsi" w:hAnsiTheme="minorHAnsi" w:cstheme="minorHAnsi"/>
          <w:sz w:val="22"/>
        </w:rPr>
        <w:t xml:space="preserve">. Oblasť štátnej pomoci a jej aplikácia v členských štátoch </w:t>
      </w:r>
      <w:r w:rsidR="00435025" w:rsidRPr="00E74D83">
        <w:rPr>
          <w:rFonts w:asciiTheme="minorHAnsi" w:hAnsiTheme="minorHAnsi" w:cstheme="minorHAnsi"/>
          <w:sz w:val="22"/>
        </w:rPr>
        <w:t>EÚ</w:t>
      </w:r>
      <w:r w:rsidRPr="00E74D83">
        <w:rPr>
          <w:rFonts w:asciiTheme="minorHAnsi" w:hAnsiTheme="minorHAnsi" w:cstheme="minorHAnsi"/>
          <w:sz w:val="22"/>
        </w:rPr>
        <w:t xml:space="preserve"> sa môže v priebehu času meniť v závislosti od zmien príslušnej legislatívy a od jej interpretácie a praktickej aplikácie EK a najmä súdmi EÚ.</w:t>
      </w:r>
    </w:p>
    <w:p w14:paraId="6DF022EE" w14:textId="77777777" w:rsidR="008E73CF" w:rsidRPr="00E74D83" w:rsidRDefault="008E73CF" w:rsidP="00E74D83">
      <w:pPr>
        <w:spacing w:before="120" w:line="259" w:lineRule="auto"/>
        <w:rPr>
          <w:rFonts w:asciiTheme="minorHAnsi" w:hAnsiTheme="minorHAnsi" w:cstheme="minorHAnsi"/>
          <w:sz w:val="22"/>
        </w:rPr>
      </w:pPr>
    </w:p>
    <w:p w14:paraId="1386170E" w14:textId="77777777" w:rsidR="008E73CF" w:rsidRPr="00E74D83" w:rsidRDefault="008E73CF" w:rsidP="00E74D83">
      <w:pPr>
        <w:spacing w:before="120" w:line="259" w:lineRule="auto"/>
        <w:rPr>
          <w:rFonts w:asciiTheme="minorHAnsi" w:hAnsiTheme="minorHAnsi" w:cstheme="minorHAnsi"/>
          <w:sz w:val="22"/>
        </w:rPr>
      </w:pPr>
    </w:p>
    <w:p w14:paraId="1A2F3AE5" w14:textId="77777777" w:rsidR="00171512" w:rsidRPr="00E74D83" w:rsidRDefault="00171512" w:rsidP="00E74D83">
      <w:pPr>
        <w:spacing w:before="120" w:line="259" w:lineRule="auto"/>
        <w:rPr>
          <w:rFonts w:asciiTheme="minorHAnsi" w:hAnsiTheme="minorHAnsi" w:cstheme="minorHAnsi"/>
          <w:sz w:val="22"/>
        </w:rPr>
      </w:pPr>
    </w:p>
    <w:p w14:paraId="20F32F9F" w14:textId="77777777" w:rsidR="008E73CF" w:rsidRPr="00E74D83" w:rsidRDefault="008E73CF" w:rsidP="00444105">
      <w:pPr>
        <w:pStyle w:val="Nadpis1"/>
      </w:pPr>
      <w:bookmarkStart w:id="9" w:name="_Toc173163827"/>
      <w:r w:rsidRPr="00E74D83">
        <w:t>Prílohy</w:t>
      </w:r>
      <w:bookmarkEnd w:id="9"/>
    </w:p>
    <w:p w14:paraId="2C76A4BB" w14:textId="5739EDDF" w:rsidR="008E73CF" w:rsidRPr="00E74D83" w:rsidRDefault="008E73CF" w:rsidP="00E74D83">
      <w:pPr>
        <w:pStyle w:val="Odsekzoznamu"/>
        <w:numPr>
          <w:ilvl w:val="0"/>
          <w:numId w:val="6"/>
        </w:numPr>
        <w:spacing w:before="120" w:line="259" w:lineRule="auto"/>
        <w:rPr>
          <w:rFonts w:asciiTheme="minorHAnsi" w:hAnsiTheme="minorHAnsi" w:cstheme="minorHAnsi"/>
          <w:sz w:val="22"/>
        </w:rPr>
      </w:pPr>
      <w:r w:rsidRPr="00E74D83">
        <w:rPr>
          <w:rFonts w:asciiTheme="minorHAnsi" w:hAnsiTheme="minorHAnsi" w:cstheme="minorHAnsi"/>
          <w:sz w:val="22"/>
        </w:rPr>
        <w:t>Vyhlásenie o využití podporenej infraštruktúry na hospodárske účely</w:t>
      </w:r>
      <w:r w:rsidR="000B64ED">
        <w:rPr>
          <w:rFonts w:asciiTheme="minorHAnsi" w:hAnsiTheme="minorHAnsi" w:cstheme="minorHAnsi"/>
          <w:sz w:val="22"/>
        </w:rPr>
        <w:t xml:space="preserve"> </w:t>
      </w:r>
    </w:p>
    <w:p w14:paraId="5E9A55BA" w14:textId="44D12761" w:rsidR="004E5A39" w:rsidRPr="00E74D83" w:rsidRDefault="008E73CF" w:rsidP="00C174C7">
      <w:pPr>
        <w:pStyle w:val="Odsekzoznamu"/>
        <w:numPr>
          <w:ilvl w:val="0"/>
          <w:numId w:val="6"/>
        </w:numPr>
        <w:spacing w:before="120" w:line="259" w:lineRule="auto"/>
        <w:rPr>
          <w:rFonts w:asciiTheme="minorHAnsi" w:hAnsiTheme="minorHAnsi" w:cstheme="minorHAnsi"/>
          <w:sz w:val="22"/>
        </w:rPr>
      </w:pPr>
      <w:r w:rsidRPr="00507069">
        <w:rPr>
          <w:rFonts w:asciiTheme="minorHAnsi" w:hAnsiTheme="minorHAnsi" w:cstheme="minorHAnsi"/>
          <w:sz w:val="22"/>
        </w:rPr>
        <w:t>Výpočet ročnej kapacity infraštruktúry</w:t>
      </w:r>
      <w:r w:rsidR="000B64ED" w:rsidRPr="00507069">
        <w:rPr>
          <w:rFonts w:asciiTheme="minorHAnsi" w:hAnsiTheme="minorHAnsi" w:cstheme="minorHAnsi"/>
          <w:sz w:val="22"/>
        </w:rPr>
        <w:t xml:space="preserve"> </w:t>
      </w:r>
    </w:p>
    <w:sectPr w:rsidR="004E5A39" w:rsidRPr="00E74D83" w:rsidSect="00904FA7">
      <w:headerReference w:type="even" r:id="rId15"/>
      <w:headerReference w:type="default" r:id="rId16"/>
      <w:footerReference w:type="default" r:id="rId17"/>
      <w:headerReference w:type="first" r:id="rId18"/>
      <w:pgSz w:w="11906" w:h="16838"/>
      <w:pgMar w:top="1440" w:right="1440" w:bottom="1758" w:left="1440" w:header="43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29E146" w14:textId="77777777" w:rsidR="0083706E" w:rsidRDefault="0083706E" w:rsidP="008E73CF">
      <w:pPr>
        <w:spacing w:after="0" w:line="240" w:lineRule="auto"/>
      </w:pPr>
      <w:r>
        <w:separator/>
      </w:r>
    </w:p>
  </w:endnote>
  <w:endnote w:type="continuationSeparator" w:id="0">
    <w:p w14:paraId="28843CED" w14:textId="77777777" w:rsidR="0083706E" w:rsidRDefault="0083706E" w:rsidP="008E7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5608588"/>
      <w:docPartObj>
        <w:docPartGallery w:val="Page Numbers (Bottom of Page)"/>
        <w:docPartUnique/>
      </w:docPartObj>
    </w:sdtPr>
    <w:sdtEndPr>
      <w:rPr>
        <w:noProof/>
      </w:rPr>
    </w:sdtEndPr>
    <w:sdtContent>
      <w:p w14:paraId="23C97C5B" w14:textId="0634F6BD" w:rsidR="008E73CF" w:rsidRDefault="008E73CF">
        <w:pPr>
          <w:pStyle w:val="Pta"/>
          <w:jc w:val="center"/>
        </w:pPr>
        <w:r>
          <w:fldChar w:fldCharType="begin"/>
        </w:r>
        <w:r>
          <w:instrText xml:space="preserve"> PAGE   \* MERGEFORMAT </w:instrText>
        </w:r>
        <w:r>
          <w:fldChar w:fldCharType="separate"/>
        </w:r>
        <w:r w:rsidR="00E84AB6">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6490545"/>
      <w:docPartObj>
        <w:docPartGallery w:val="Page Numbers (Bottom of Page)"/>
        <w:docPartUnique/>
      </w:docPartObj>
    </w:sdtPr>
    <w:sdtEndPr>
      <w:rPr>
        <w:noProof/>
      </w:rPr>
    </w:sdtEndPr>
    <w:sdtContent>
      <w:p w14:paraId="09AD94B5" w14:textId="190C7A04" w:rsidR="008E73CF" w:rsidRDefault="008E73CF">
        <w:pPr>
          <w:pStyle w:val="Pta"/>
          <w:jc w:val="center"/>
        </w:pPr>
        <w:r>
          <w:fldChar w:fldCharType="begin"/>
        </w:r>
        <w:r>
          <w:instrText xml:space="preserve"> PAGE   \* MERGEFORMAT </w:instrText>
        </w:r>
        <w:r>
          <w:fldChar w:fldCharType="separate"/>
        </w:r>
        <w:r w:rsidR="00EF189B">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1022393"/>
      <w:docPartObj>
        <w:docPartGallery w:val="Page Numbers (Bottom of Page)"/>
        <w:docPartUnique/>
      </w:docPartObj>
    </w:sdtPr>
    <w:sdtEndPr>
      <w:rPr>
        <w:noProof/>
      </w:rPr>
    </w:sdtEndPr>
    <w:sdtContent>
      <w:p w14:paraId="72E25899" w14:textId="7BC19CEA" w:rsidR="004E5A39" w:rsidRDefault="007112AB">
        <w:pPr>
          <w:pStyle w:val="Pta"/>
          <w:jc w:val="center"/>
        </w:pPr>
        <w:r>
          <w:fldChar w:fldCharType="begin"/>
        </w:r>
        <w:r>
          <w:instrText xml:space="preserve"> PAGE   \* MERGEFORMAT </w:instrText>
        </w:r>
        <w:r>
          <w:fldChar w:fldCharType="separate"/>
        </w:r>
        <w:r w:rsidR="00EF189B">
          <w:rPr>
            <w:noProof/>
          </w:rPr>
          <w:t>2</w:t>
        </w:r>
        <w:r>
          <w:rPr>
            <w:noProof/>
          </w:rPr>
          <w:fldChar w:fldCharType="end"/>
        </w:r>
      </w:p>
    </w:sdtContent>
  </w:sdt>
  <w:p w14:paraId="706DD273" w14:textId="77777777" w:rsidR="004E5A39" w:rsidRDefault="004E5A39" w:rsidP="004E5A39">
    <w:pPr>
      <w:pStyle w:val="Pta"/>
      <w:tabs>
        <w:tab w:val="clear" w:pos="4680"/>
        <w:tab w:val="clear" w:pos="9360"/>
        <w:tab w:val="left" w:pos="777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9E3FA7" w14:textId="77777777" w:rsidR="0083706E" w:rsidRDefault="0083706E" w:rsidP="008E73CF">
      <w:pPr>
        <w:spacing w:after="0" w:line="240" w:lineRule="auto"/>
      </w:pPr>
      <w:r>
        <w:separator/>
      </w:r>
    </w:p>
  </w:footnote>
  <w:footnote w:type="continuationSeparator" w:id="0">
    <w:p w14:paraId="26AAF872" w14:textId="77777777" w:rsidR="0083706E" w:rsidRDefault="0083706E" w:rsidP="008E73CF">
      <w:pPr>
        <w:spacing w:after="0" w:line="240" w:lineRule="auto"/>
      </w:pPr>
      <w:r>
        <w:continuationSeparator/>
      </w:r>
    </w:p>
  </w:footnote>
  <w:footnote w:id="1">
    <w:p w14:paraId="725505CB" w14:textId="77777777" w:rsidR="008E73CF" w:rsidRPr="00D924DD" w:rsidRDefault="008E73CF" w:rsidP="00D924DD">
      <w:pPr>
        <w:pStyle w:val="Textpoznmkypodiarou"/>
        <w:spacing w:before="0" w:after="0" w:line="240" w:lineRule="auto"/>
        <w:rPr>
          <w:rFonts w:asciiTheme="minorHAnsi" w:hAnsiTheme="minorHAnsi" w:cstheme="minorHAnsi"/>
          <w:sz w:val="16"/>
          <w:szCs w:val="16"/>
        </w:rPr>
      </w:pPr>
      <w:r w:rsidRPr="00D924DD">
        <w:rPr>
          <w:rStyle w:val="Odkaznapoznmkupodiarou"/>
          <w:rFonts w:asciiTheme="minorHAnsi" w:hAnsiTheme="minorHAnsi" w:cstheme="minorHAnsi"/>
          <w:sz w:val="16"/>
          <w:szCs w:val="16"/>
        </w:rPr>
        <w:footnoteRef/>
      </w:r>
      <w:r w:rsidRPr="00D924DD">
        <w:rPr>
          <w:rFonts w:asciiTheme="minorHAnsi" w:hAnsiTheme="minorHAnsi" w:cstheme="minorHAnsi"/>
          <w:sz w:val="16"/>
          <w:szCs w:val="16"/>
        </w:rPr>
        <w:t xml:space="preserve"> </w:t>
      </w:r>
      <w:hyperlink r:id="rId1" w:history="1">
        <w:r w:rsidRPr="00D924DD">
          <w:rPr>
            <w:rStyle w:val="Hypertextovprepojenie"/>
            <w:rFonts w:asciiTheme="minorHAnsi" w:hAnsiTheme="minorHAnsi" w:cstheme="minorHAnsi"/>
            <w:sz w:val="16"/>
            <w:szCs w:val="16"/>
          </w:rPr>
          <w:t>http://eur-lex.europa.eu/legal-content/EN/TXT/?uri=OJ%3AC%3A2016%3A262%3ATOC</w:t>
        </w:r>
      </w:hyperlink>
      <w:r w:rsidRPr="00D924DD">
        <w:rPr>
          <w:rFonts w:asciiTheme="minorHAnsi" w:hAnsiTheme="minorHAnsi" w:cstheme="minorHAnsi"/>
          <w:sz w:val="16"/>
          <w:szCs w:val="16"/>
        </w:rPr>
        <w:t xml:space="preserve"> </w:t>
      </w:r>
    </w:p>
  </w:footnote>
  <w:footnote w:id="2">
    <w:p w14:paraId="42CC3B4D" w14:textId="77777777" w:rsidR="008E73CF" w:rsidRPr="00D924DD" w:rsidRDefault="008E73CF" w:rsidP="00D924DD">
      <w:pPr>
        <w:pStyle w:val="Textpoznmkypodiarou"/>
        <w:spacing w:before="0" w:after="0" w:line="240" w:lineRule="auto"/>
        <w:rPr>
          <w:rFonts w:asciiTheme="minorHAnsi" w:hAnsiTheme="minorHAnsi" w:cstheme="minorHAnsi"/>
          <w:sz w:val="16"/>
          <w:szCs w:val="16"/>
        </w:rPr>
      </w:pPr>
      <w:r w:rsidRPr="00D924DD">
        <w:rPr>
          <w:rStyle w:val="Odkaznapoznmkupodiarou"/>
          <w:rFonts w:asciiTheme="minorHAnsi" w:hAnsiTheme="minorHAnsi" w:cstheme="minorHAnsi"/>
          <w:sz w:val="16"/>
          <w:szCs w:val="16"/>
        </w:rPr>
        <w:footnoteRef/>
      </w:r>
      <w:r w:rsidRPr="00D924DD">
        <w:rPr>
          <w:rFonts w:asciiTheme="minorHAnsi" w:hAnsiTheme="minorHAnsi" w:cstheme="minorHAnsi"/>
          <w:sz w:val="16"/>
          <w:szCs w:val="16"/>
        </w:rPr>
        <w:t xml:space="preserve"> Hospodárske využitie infraštruktúry možno v tejto súvislosti považovať za vedľajšie, ak kapacita vyčlenená každý rok na túto činnosť neprekračuje 20 percent celkovej ročnej kapacity infraštruktúry.</w:t>
      </w:r>
    </w:p>
  </w:footnote>
  <w:footnote w:id="3">
    <w:p w14:paraId="300BCADF" w14:textId="77777777" w:rsidR="008E73CF" w:rsidRPr="00D924DD" w:rsidRDefault="008E73CF" w:rsidP="00D924DD">
      <w:pPr>
        <w:pStyle w:val="Textpoznmkypodiarou"/>
        <w:spacing w:before="0" w:after="0" w:line="240" w:lineRule="auto"/>
        <w:rPr>
          <w:rFonts w:asciiTheme="minorHAnsi" w:hAnsiTheme="minorHAnsi" w:cstheme="minorHAnsi"/>
          <w:sz w:val="16"/>
          <w:szCs w:val="16"/>
        </w:rPr>
      </w:pPr>
      <w:r w:rsidRPr="00D924DD">
        <w:rPr>
          <w:rStyle w:val="Odkaznapoznmkupodiarou"/>
          <w:rFonts w:asciiTheme="minorHAnsi" w:hAnsiTheme="minorHAnsi" w:cstheme="minorHAnsi"/>
          <w:sz w:val="16"/>
          <w:szCs w:val="16"/>
        </w:rPr>
        <w:footnoteRef/>
      </w:r>
      <w:r w:rsidRPr="00D924DD">
        <w:rPr>
          <w:rFonts w:asciiTheme="minorHAnsi" w:hAnsiTheme="minorHAnsi" w:cstheme="minorHAnsi"/>
          <w:sz w:val="16"/>
          <w:szCs w:val="16"/>
        </w:rPr>
        <w:t xml:space="preserve"> Ak činnosti prestanú mať len sprievodný charakter, tak aj sekundárne hospodárske činnosti môžu podliehať pravidlám štátnej pomoci (pozri rozsudok Všeobecného súdu z 12. septembra 2013, Nemecko/Komisia, T-347/09, ECLI:EU:T:2013:418, predaj dreva a činnosti v oblasti cestovného ruchu organizácií na ochranu prírody).</w:t>
      </w:r>
    </w:p>
  </w:footnote>
  <w:footnote w:id="4">
    <w:p w14:paraId="4F7294F1" w14:textId="77777777" w:rsidR="008E73CF" w:rsidRPr="00D924DD" w:rsidRDefault="008E73CF" w:rsidP="00D924DD">
      <w:pPr>
        <w:pStyle w:val="Textpoznmkypodiarou"/>
        <w:spacing w:before="0" w:after="0" w:line="240" w:lineRule="auto"/>
        <w:rPr>
          <w:rFonts w:asciiTheme="minorHAnsi" w:hAnsiTheme="minorHAnsi" w:cstheme="minorHAnsi"/>
          <w:sz w:val="16"/>
          <w:szCs w:val="16"/>
        </w:rPr>
      </w:pPr>
      <w:r w:rsidRPr="00D924DD">
        <w:rPr>
          <w:rStyle w:val="Odkaznapoznmkupodiarou"/>
          <w:rFonts w:asciiTheme="minorHAnsi" w:hAnsiTheme="minorHAnsi" w:cstheme="minorHAnsi"/>
          <w:sz w:val="16"/>
          <w:szCs w:val="16"/>
        </w:rPr>
        <w:footnoteRef/>
      </w:r>
      <w:r w:rsidRPr="00D924DD">
        <w:rPr>
          <w:rFonts w:asciiTheme="minorHAnsi" w:hAnsiTheme="minorHAnsi" w:cstheme="minorHAnsi"/>
          <w:sz w:val="16"/>
          <w:szCs w:val="16"/>
        </w:rPr>
        <w:t xml:space="preserve"> Pozri článok 2 písm. a) nariadenia Rady (ES) č. 723/2009 z 25. júna 2009 o právnom rámci Spoločenstva pre Konzorcium pre európsku výskumnú infraštruktúru (ERIC) (Ú. v. EÚ L 206, 8.8.2009, s. 1).</w:t>
      </w:r>
    </w:p>
  </w:footnote>
  <w:footnote w:id="5">
    <w:p w14:paraId="79C8C9C6" w14:textId="77777777" w:rsidR="008E73CF" w:rsidRPr="00D924DD" w:rsidRDefault="008E73CF" w:rsidP="00D924DD">
      <w:pPr>
        <w:pStyle w:val="Textpoznmkypodiarou"/>
        <w:spacing w:before="0" w:after="0" w:line="240" w:lineRule="auto"/>
        <w:rPr>
          <w:rFonts w:asciiTheme="minorHAnsi" w:hAnsiTheme="minorHAnsi" w:cstheme="minorHAnsi"/>
          <w:sz w:val="16"/>
          <w:szCs w:val="16"/>
        </w:rPr>
      </w:pPr>
      <w:r w:rsidRPr="00D924DD">
        <w:rPr>
          <w:rStyle w:val="Odkaznapoznmkupodiarou"/>
          <w:rFonts w:asciiTheme="minorHAnsi" w:hAnsiTheme="minorHAnsi" w:cstheme="minorHAnsi"/>
          <w:sz w:val="16"/>
          <w:szCs w:val="16"/>
        </w:rPr>
        <w:footnoteRef/>
      </w:r>
      <w:r w:rsidRPr="00D924DD">
        <w:rPr>
          <w:rFonts w:asciiTheme="minorHAnsi" w:hAnsiTheme="minorHAnsi" w:cstheme="minorHAnsi"/>
          <w:sz w:val="16"/>
          <w:szCs w:val="16"/>
        </w:rPr>
        <w:t xml:space="preserve"> Pozri ods. 207 oznámenia Komisie o pojme štátna pomoc uvedenom v odseku 107 ods. 1 Zmluvy o fungovaní Európskej únie (2016/C 262/01).</w:t>
      </w:r>
    </w:p>
  </w:footnote>
  <w:footnote w:id="6">
    <w:p w14:paraId="26F1A42C" w14:textId="77777777" w:rsidR="008E73CF" w:rsidRPr="00290DE8" w:rsidRDefault="008E73CF" w:rsidP="008E73CF">
      <w:pPr>
        <w:pStyle w:val="Textpoznmkypodiarou"/>
        <w:spacing w:before="0" w:after="0" w:line="240" w:lineRule="auto"/>
        <w:rPr>
          <w:rFonts w:asciiTheme="minorHAnsi" w:hAnsiTheme="minorHAnsi" w:cstheme="minorHAnsi"/>
          <w:sz w:val="16"/>
          <w:szCs w:val="16"/>
        </w:rPr>
      </w:pPr>
      <w:r w:rsidRPr="00290DE8">
        <w:rPr>
          <w:rStyle w:val="Odkaznapoznmkupodiarou"/>
          <w:rFonts w:asciiTheme="minorHAnsi" w:hAnsiTheme="minorHAnsi" w:cstheme="minorHAnsi"/>
          <w:sz w:val="16"/>
          <w:szCs w:val="16"/>
          <w:lang w:val="en-US"/>
        </w:rPr>
        <w:footnoteRef/>
      </w:r>
      <w:r w:rsidRPr="00290DE8">
        <w:rPr>
          <w:rFonts w:asciiTheme="minorHAnsi" w:hAnsiTheme="minorHAnsi" w:cstheme="minorHAnsi"/>
          <w:sz w:val="16"/>
          <w:szCs w:val="16"/>
        </w:rPr>
        <w:t xml:space="preserve"> V zmysle definície podniku v ods. 1 čl. 107 Zmluvy o fungovaní Európskej Únie, t. j. subjektu, ktorý na trhu ponúka tovary alebo služby bez ohľadu na svoju právnu subjektivitu.</w:t>
      </w:r>
    </w:p>
  </w:footnote>
  <w:footnote w:id="7">
    <w:p w14:paraId="1F33ED8D" w14:textId="77777777" w:rsidR="008E73CF" w:rsidRPr="00290DE8" w:rsidRDefault="008E73CF" w:rsidP="008E73CF">
      <w:pPr>
        <w:pStyle w:val="Textpoznmkypodiarou"/>
        <w:spacing w:before="0" w:after="0" w:line="240" w:lineRule="auto"/>
        <w:rPr>
          <w:rFonts w:asciiTheme="minorHAnsi" w:hAnsiTheme="minorHAnsi" w:cstheme="minorHAnsi"/>
          <w:sz w:val="16"/>
          <w:szCs w:val="16"/>
        </w:rPr>
      </w:pPr>
      <w:r w:rsidRPr="00290DE8">
        <w:rPr>
          <w:rStyle w:val="Odkaznapoznmkupodiarou"/>
          <w:rFonts w:asciiTheme="minorHAnsi" w:hAnsiTheme="minorHAnsi" w:cstheme="minorHAnsi"/>
          <w:sz w:val="16"/>
          <w:szCs w:val="16"/>
        </w:rPr>
        <w:footnoteRef/>
      </w:r>
      <w:r w:rsidRPr="00290DE8">
        <w:rPr>
          <w:rFonts w:asciiTheme="minorHAnsi" w:hAnsiTheme="minorHAnsi" w:cstheme="minorHAnsi"/>
          <w:sz w:val="16"/>
          <w:szCs w:val="16"/>
        </w:rPr>
        <w:t xml:space="preserve"> Prijímateľ bude uplatňovať rovnaký prístup voči všetkým záujemcom a klientom.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AF60" w14:textId="691710B5" w:rsidR="00444105" w:rsidRDefault="00444105">
    <w:pPr>
      <w:pStyle w:val="Hlavika"/>
    </w:pPr>
    <w:r>
      <w:rPr>
        <w:noProof/>
      </w:rPr>
      <w:drawing>
        <wp:inline distT="0" distB="0" distL="0" distR="0" wp14:anchorId="34E8D9B4" wp14:editId="2FD8ADF6">
          <wp:extent cx="5939790" cy="737235"/>
          <wp:effectExtent l="0" t="0" r="0" b="0"/>
          <wp:docPr id="1829503259"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7372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281D3" w14:textId="7A19FC2A" w:rsidR="00FD5218" w:rsidRDefault="00FD5218" w:rsidP="00FD5218">
    <w:pPr>
      <w:pStyle w:val="Zkladntext"/>
      <w:rPr>
        <w:rFonts w:ascii="Times New Roman"/>
        <w:sz w:val="20"/>
      </w:rPr>
    </w:pPr>
    <w:r>
      <w:rPr>
        <w:rFonts w:ascii="Times New Roman"/>
        <w:sz w:val="20"/>
      </w:rPr>
      <w:t xml:space="preserve">                                </w:t>
    </w:r>
    <w:r w:rsidR="00CC6D1A">
      <w:rPr>
        <w:noProof/>
      </w:rPr>
      <w:drawing>
        <wp:inline distT="0" distB="0" distL="0" distR="0" wp14:anchorId="51EBC33B" wp14:editId="108B2799">
          <wp:extent cx="5939790" cy="737594"/>
          <wp:effectExtent l="0" t="0" r="0" b="0"/>
          <wp:docPr id="119660140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737594"/>
                  </a:xfrm>
                  <a:prstGeom prst="rect">
                    <a:avLst/>
                  </a:prstGeom>
                  <a:noFill/>
                  <a:ln>
                    <a:noFill/>
                  </a:ln>
                </pic:spPr>
              </pic:pic>
            </a:graphicData>
          </a:graphic>
        </wp:inline>
      </w:drawing>
    </w:r>
  </w:p>
  <w:p w14:paraId="1A6AC8A9" w14:textId="7F2A347A" w:rsidR="004E5A39" w:rsidRPr="00520FE3" w:rsidRDefault="004E5A39" w:rsidP="004E5A39">
    <w:pPr>
      <w:pStyle w:val="Hlavika"/>
      <w:ind w:left="-567" w:right="-995"/>
      <w:rPr>
        <w:rFonts w:ascii="Calibri" w:hAnsi="Calibri"/>
        <w:noProof/>
      </w:rPr>
    </w:pPr>
    <w:r w:rsidRPr="00A627B4">
      <w:rPr>
        <w:rFonts w:ascii="Calibri" w:hAnsi="Calibri"/>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DA5F4" w14:textId="77777777" w:rsidR="004E5A39" w:rsidRDefault="004E5A39">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A93CE" w14:textId="77777777" w:rsidR="004E5A39" w:rsidRDefault="004E5A39">
    <w:pPr>
      <w:pStyle w:val="Hlavika"/>
    </w:pPr>
  </w:p>
  <w:p w14:paraId="71F54A28" w14:textId="77777777" w:rsidR="004E5A39" w:rsidRDefault="004E5A39">
    <w:pPr>
      <w:pStyle w:val="Hlavika"/>
    </w:pPr>
  </w:p>
  <w:p w14:paraId="6A2AD857" w14:textId="77777777" w:rsidR="004E5A39" w:rsidRDefault="004E5A39">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684D7" w14:textId="77777777" w:rsidR="004E5A39" w:rsidRDefault="004E5A39">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487EA6"/>
    <w:multiLevelType w:val="hybridMultilevel"/>
    <w:tmpl w:val="1600743C"/>
    <w:lvl w:ilvl="0" w:tplc="F7C4BB78">
      <w:start w:val="1"/>
      <w:numFmt w:val="bullet"/>
      <w:pStyle w:val="Odsekzoznamu"/>
      <w:lvlText w:val=""/>
      <w:lvlJc w:val="left"/>
      <w:pPr>
        <w:ind w:left="1440" w:hanging="360"/>
      </w:pPr>
      <w:rPr>
        <w:rFonts w:ascii="Symbol" w:hAnsi="Symbol" w:hint="default"/>
      </w:rPr>
    </w:lvl>
    <w:lvl w:ilvl="1" w:tplc="A156F192">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6517F83"/>
    <w:multiLevelType w:val="hybridMultilevel"/>
    <w:tmpl w:val="3F946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555AA0"/>
    <w:multiLevelType w:val="hybridMultilevel"/>
    <w:tmpl w:val="02689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1320E9"/>
    <w:multiLevelType w:val="hybridMultilevel"/>
    <w:tmpl w:val="63808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BC21B0"/>
    <w:multiLevelType w:val="multilevel"/>
    <w:tmpl w:val="72801C82"/>
    <w:lvl w:ilvl="0">
      <w:start w:val="1"/>
      <w:numFmt w:val="decimal"/>
      <w:pStyle w:val="Nadpis1"/>
      <w:lvlText w:val="%1."/>
      <w:lvlJc w:val="left"/>
      <w:pPr>
        <w:ind w:left="360" w:hanging="360"/>
      </w:pPr>
      <w:rPr>
        <w:rFonts w:ascii="Verdana" w:hAnsi="Verdana" w:hint="default"/>
        <w:b w:val="0"/>
        <w:bCs w:val="0"/>
        <w:i w:val="0"/>
        <w:iCs w:val="0"/>
        <w:caps w:val="0"/>
        <w:smallCaps w:val="0"/>
        <w:strike w:val="0"/>
        <w:dstrike w:val="0"/>
        <w:noProof w:val="0"/>
        <w:vanish w:val="0"/>
        <w:color w:val="auto"/>
        <w:spacing w:val="0"/>
        <w:kern w:val="0"/>
        <w:position w:val="0"/>
        <w:sz w:val="36"/>
        <w:szCs w:val="3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ind w:left="576" w:hanging="576"/>
      </w:pPr>
      <w:rPr>
        <w:rFonts w:ascii="Verdana" w:hAnsi="Verdana" w:hint="default"/>
        <w:b/>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lvlText w:val="%1.%2.%3"/>
      <w:lvlJc w:val="left"/>
      <w:pPr>
        <w:ind w:left="4860" w:hanging="720"/>
      </w:pPr>
      <w:rPr>
        <w:rFonts w:hint="default"/>
      </w:rPr>
    </w:lvl>
    <w:lvl w:ilvl="3">
      <w:start w:val="1"/>
      <w:numFmt w:val="decimal"/>
      <w:pStyle w:val="Nadpis4"/>
      <w:lvlText w:val="%1.%2.%3.%4"/>
      <w:lvlJc w:val="left"/>
      <w:pPr>
        <w:ind w:left="864" w:hanging="864"/>
      </w:pPr>
      <w:rPr>
        <w:rFonts w:hint="default"/>
        <w:b/>
        <w:i w:val="0"/>
        <w:color w:val="012169"/>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5" w15:restartNumberingAfterBreak="0">
    <w:nsid w:val="75F91607"/>
    <w:multiLevelType w:val="hybridMultilevel"/>
    <w:tmpl w:val="5D0C0D38"/>
    <w:lvl w:ilvl="0" w:tplc="041B000F">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79190087"/>
    <w:multiLevelType w:val="hybridMultilevel"/>
    <w:tmpl w:val="CA524970"/>
    <w:lvl w:ilvl="0" w:tplc="D4069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2751092">
    <w:abstractNumId w:val="4"/>
  </w:num>
  <w:num w:numId="2" w16cid:durableId="1373732076">
    <w:abstractNumId w:val="0"/>
  </w:num>
  <w:num w:numId="3" w16cid:durableId="1964845287">
    <w:abstractNumId w:val="3"/>
  </w:num>
  <w:num w:numId="4" w16cid:durableId="1158769656">
    <w:abstractNumId w:val="2"/>
  </w:num>
  <w:num w:numId="5" w16cid:durableId="1651906451">
    <w:abstractNumId w:val="1"/>
  </w:num>
  <w:num w:numId="6" w16cid:durableId="2128313348">
    <w:abstractNumId w:val="6"/>
  </w:num>
  <w:num w:numId="7" w16cid:durableId="20327609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3CF"/>
    <w:rsid w:val="000B64ED"/>
    <w:rsid w:val="00103C34"/>
    <w:rsid w:val="00171512"/>
    <w:rsid w:val="00186F31"/>
    <w:rsid w:val="001D50EF"/>
    <w:rsid w:val="001E198E"/>
    <w:rsid w:val="001E224C"/>
    <w:rsid w:val="0021742F"/>
    <w:rsid w:val="00290DE8"/>
    <w:rsid w:val="002A32D0"/>
    <w:rsid w:val="002F15D5"/>
    <w:rsid w:val="00316827"/>
    <w:rsid w:val="00343DB9"/>
    <w:rsid w:val="00357CAC"/>
    <w:rsid w:val="0036493E"/>
    <w:rsid w:val="003858B5"/>
    <w:rsid w:val="00394F20"/>
    <w:rsid w:val="003B4B75"/>
    <w:rsid w:val="003B5385"/>
    <w:rsid w:val="003C3BC3"/>
    <w:rsid w:val="003F6B47"/>
    <w:rsid w:val="004176B5"/>
    <w:rsid w:val="00431B6E"/>
    <w:rsid w:val="00432A99"/>
    <w:rsid w:val="00435025"/>
    <w:rsid w:val="00444105"/>
    <w:rsid w:val="0048406A"/>
    <w:rsid w:val="00485895"/>
    <w:rsid w:val="0048792E"/>
    <w:rsid w:val="004E5A39"/>
    <w:rsid w:val="004F4C70"/>
    <w:rsid w:val="00507069"/>
    <w:rsid w:val="00551052"/>
    <w:rsid w:val="00553B78"/>
    <w:rsid w:val="00563639"/>
    <w:rsid w:val="00590D36"/>
    <w:rsid w:val="005944F1"/>
    <w:rsid w:val="005A7051"/>
    <w:rsid w:val="005C1E1B"/>
    <w:rsid w:val="005D4F4A"/>
    <w:rsid w:val="005F5ACC"/>
    <w:rsid w:val="00605991"/>
    <w:rsid w:val="00610500"/>
    <w:rsid w:val="0066662D"/>
    <w:rsid w:val="0069296A"/>
    <w:rsid w:val="006E6D5C"/>
    <w:rsid w:val="00705004"/>
    <w:rsid w:val="0070769D"/>
    <w:rsid w:val="00707988"/>
    <w:rsid w:val="007112AB"/>
    <w:rsid w:val="007564D1"/>
    <w:rsid w:val="0078296D"/>
    <w:rsid w:val="007A3A73"/>
    <w:rsid w:val="007C1768"/>
    <w:rsid w:val="007E5B19"/>
    <w:rsid w:val="007F740A"/>
    <w:rsid w:val="008113FB"/>
    <w:rsid w:val="0083706E"/>
    <w:rsid w:val="0089375A"/>
    <w:rsid w:val="00895F5B"/>
    <w:rsid w:val="008B2B44"/>
    <w:rsid w:val="008D3569"/>
    <w:rsid w:val="008E73CF"/>
    <w:rsid w:val="00904FA7"/>
    <w:rsid w:val="00951E57"/>
    <w:rsid w:val="009735B7"/>
    <w:rsid w:val="009767FE"/>
    <w:rsid w:val="009B3078"/>
    <w:rsid w:val="009C1B0A"/>
    <w:rsid w:val="009E255F"/>
    <w:rsid w:val="00A212E2"/>
    <w:rsid w:val="00A341EC"/>
    <w:rsid w:val="00A54B2D"/>
    <w:rsid w:val="00A5644E"/>
    <w:rsid w:val="00AD1EB5"/>
    <w:rsid w:val="00AE0B1A"/>
    <w:rsid w:val="00B22F97"/>
    <w:rsid w:val="00B60561"/>
    <w:rsid w:val="00B95776"/>
    <w:rsid w:val="00BD4E0B"/>
    <w:rsid w:val="00C50F93"/>
    <w:rsid w:val="00CC24C5"/>
    <w:rsid w:val="00CC6D1A"/>
    <w:rsid w:val="00D0437A"/>
    <w:rsid w:val="00D52A30"/>
    <w:rsid w:val="00D64F56"/>
    <w:rsid w:val="00D924DD"/>
    <w:rsid w:val="00D9757B"/>
    <w:rsid w:val="00E53E69"/>
    <w:rsid w:val="00E613C2"/>
    <w:rsid w:val="00E632BD"/>
    <w:rsid w:val="00E74D83"/>
    <w:rsid w:val="00E84AB6"/>
    <w:rsid w:val="00EB0B0F"/>
    <w:rsid w:val="00EB4391"/>
    <w:rsid w:val="00EF189B"/>
    <w:rsid w:val="00F15DE4"/>
    <w:rsid w:val="00F766D7"/>
    <w:rsid w:val="00F862AD"/>
    <w:rsid w:val="00F930D9"/>
    <w:rsid w:val="00FB5C41"/>
    <w:rsid w:val="00FD0CEC"/>
    <w:rsid w:val="00FD5218"/>
    <w:rsid w:val="00FE1E0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3A3F6AF"/>
  <w15:chartTrackingRefBased/>
  <w15:docId w15:val="{BE92E78D-5D24-4855-B9F2-35D184341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normal"/>
    <w:qFormat/>
    <w:rsid w:val="008E73CF"/>
    <w:pPr>
      <w:spacing w:after="120" w:line="288" w:lineRule="auto"/>
      <w:jc w:val="both"/>
    </w:pPr>
    <w:rPr>
      <w:rFonts w:ascii="Verdana" w:hAnsi="Verdana"/>
      <w:sz w:val="18"/>
    </w:rPr>
  </w:style>
  <w:style w:type="paragraph" w:styleId="Nadpis1">
    <w:name w:val="heading 1"/>
    <w:aliases w:val="0Überschrift 1,1Überschrift 1,2Überschrift 1,3Überschrift 1,4Überschrift 1,5Überschrift 1,6Überschrift 1,7Überschrift 1,8Überschrift 1,9Überschrift 1,10Überschrift 1,11Überschrift 1,1 ghost,g,ghost,1 h3,Capitolo,h1,II+,I,H11,H12,H13,H14,H15,P"/>
    <w:basedOn w:val="Normlny"/>
    <w:next w:val="Normlny"/>
    <w:link w:val="Nadpis1Char"/>
    <w:autoRedefine/>
    <w:uiPriority w:val="99"/>
    <w:qFormat/>
    <w:rsid w:val="00444105"/>
    <w:pPr>
      <w:keepNext/>
      <w:keepLines/>
      <w:numPr>
        <w:numId w:val="1"/>
      </w:numPr>
      <w:spacing w:before="120" w:line="259" w:lineRule="auto"/>
      <w:ind w:left="567" w:hanging="567"/>
      <w:outlineLvl w:val="0"/>
    </w:pPr>
    <w:rPr>
      <w:rFonts w:eastAsiaTheme="majorEastAsia" w:cstheme="majorBidi"/>
      <w:bCs/>
      <w:sz w:val="28"/>
      <w:szCs w:val="28"/>
    </w:rPr>
  </w:style>
  <w:style w:type="paragraph" w:styleId="Nadpis2">
    <w:name w:val="heading 2"/>
    <w:aliases w:val="Chapter,1.Seite,Sub Heading,H2,Heading 2rh,Prophead 2,Major,Major1,Major2,Major11,h2,2,Heading Two,RFP Heading 2,Activity,Subsection,l2,(1.1,1.2,1.3 etc),Level 2 Heading,Numbered indent 2,ni2,Hanging 2 Indent,numbered indent 2,h 3,dont use,sl"/>
    <w:basedOn w:val="Normlny"/>
    <w:next w:val="Normlny"/>
    <w:link w:val="Nadpis2Char"/>
    <w:autoRedefine/>
    <w:unhideWhenUsed/>
    <w:qFormat/>
    <w:rsid w:val="008E73CF"/>
    <w:pPr>
      <w:keepNext/>
      <w:keepLines/>
      <w:numPr>
        <w:ilvl w:val="1"/>
        <w:numId w:val="1"/>
      </w:numPr>
      <w:spacing w:before="120" w:after="240" w:line="240" w:lineRule="auto"/>
      <w:outlineLvl w:val="1"/>
    </w:pPr>
    <w:rPr>
      <w:rFonts w:eastAsiaTheme="majorEastAsia" w:cstheme="majorBidi"/>
      <w:b/>
      <w:sz w:val="24"/>
      <w:szCs w:val="24"/>
    </w:rPr>
  </w:style>
  <w:style w:type="paragraph" w:styleId="Nadpis3">
    <w:name w:val="heading 3"/>
    <w:aliases w:val="H3,3,ASAPHeading 3,h3,sub-sub,sub section header,subsect,h31,31,h32,32,h33,33,h34,34,h35,35,sub-sub1,sub-sub2,sub-sub3,sub-sub4,311,sub-sub11,Minor,Headline,Lev 3,subhead,1.,Section,Titre 31,t3.T3,3heading,alltoc,Table3,PA Minor Section,l3,b1"/>
    <w:basedOn w:val="Nadpis2"/>
    <w:next w:val="Normlny"/>
    <w:link w:val="Nadpis3Char"/>
    <w:autoRedefine/>
    <w:uiPriority w:val="99"/>
    <w:unhideWhenUsed/>
    <w:qFormat/>
    <w:rsid w:val="008E73CF"/>
    <w:pPr>
      <w:numPr>
        <w:ilvl w:val="2"/>
      </w:numPr>
      <w:spacing w:before="240" w:after="120"/>
      <w:jc w:val="left"/>
      <w:outlineLvl w:val="2"/>
    </w:pPr>
    <w:rPr>
      <w:color w:val="595959" w:themeColor="text1" w:themeTint="A6"/>
    </w:rPr>
  </w:style>
  <w:style w:type="paragraph" w:styleId="Nadpis4">
    <w:name w:val="heading 4"/>
    <w:aliases w:val="Level 2 - a,Bullet 1,h4,Sub-Minor,Project table,Propos,Bullet 11,Bullet 12,Bullet 13,Bullet 14,Bullet 15,Bullet 16,4heading,4,(Shift Ctrl 4),Titre 41,t4.T4,a) b) c),(Alt+4),H41,(Alt+4)1,H42,(Alt+4)2,H43,(Alt+4)3,H44,(Alt+4)4,H45,(Alt+4)5,H411"/>
    <w:basedOn w:val="Normlny"/>
    <w:next w:val="Normlny"/>
    <w:link w:val="Nadpis4Char"/>
    <w:autoRedefine/>
    <w:uiPriority w:val="99"/>
    <w:unhideWhenUsed/>
    <w:qFormat/>
    <w:rsid w:val="008E73CF"/>
    <w:pPr>
      <w:keepNext/>
      <w:keepLines/>
      <w:numPr>
        <w:ilvl w:val="3"/>
        <w:numId w:val="1"/>
      </w:numPr>
      <w:spacing w:before="240"/>
      <w:outlineLvl w:val="3"/>
    </w:pPr>
    <w:rPr>
      <w:rFonts w:eastAsiaTheme="majorEastAsia" w:cstheme="majorBidi"/>
      <w:b/>
      <w:iCs/>
      <w:color w:val="012169"/>
    </w:rPr>
  </w:style>
  <w:style w:type="paragraph" w:styleId="Nadpis5">
    <w:name w:val="heading 5"/>
    <w:basedOn w:val="Normlny"/>
    <w:next w:val="Normlny"/>
    <w:link w:val="Nadpis5Char"/>
    <w:uiPriority w:val="99"/>
    <w:unhideWhenUsed/>
    <w:qFormat/>
    <w:rsid w:val="008E73CF"/>
    <w:pPr>
      <w:keepNext/>
      <w:keepLines/>
      <w:numPr>
        <w:ilvl w:val="4"/>
        <w:numId w:val="1"/>
      </w:numPr>
      <w:spacing w:before="240"/>
      <w:outlineLvl w:val="4"/>
    </w:pPr>
    <w:rPr>
      <w:rFonts w:eastAsiaTheme="majorEastAsia" w:cstheme="majorBidi"/>
      <w:color w:val="2E74B5" w:themeColor="accent1" w:themeShade="BF"/>
    </w:rPr>
  </w:style>
  <w:style w:type="paragraph" w:styleId="Nadpis6">
    <w:name w:val="heading 6"/>
    <w:basedOn w:val="Normlny"/>
    <w:next w:val="Normlny"/>
    <w:link w:val="Nadpis6Char"/>
    <w:uiPriority w:val="99"/>
    <w:unhideWhenUsed/>
    <w:qFormat/>
    <w:rsid w:val="008E73CF"/>
    <w:pPr>
      <w:keepNext/>
      <w:keepLines/>
      <w:numPr>
        <w:ilvl w:val="5"/>
        <w:numId w:val="1"/>
      </w:numPr>
      <w:spacing w:before="40"/>
      <w:outlineLvl w:val="5"/>
    </w:pPr>
    <w:rPr>
      <w:rFonts w:eastAsiaTheme="majorEastAsia" w:cstheme="majorBidi"/>
      <w:i/>
      <w:color w:val="1F4D78" w:themeColor="accent1" w:themeShade="7F"/>
    </w:rPr>
  </w:style>
  <w:style w:type="paragraph" w:styleId="Nadpis7">
    <w:name w:val="heading 7"/>
    <w:basedOn w:val="Normlny"/>
    <w:next w:val="Normlny"/>
    <w:link w:val="Nadpis7Char"/>
    <w:uiPriority w:val="99"/>
    <w:unhideWhenUsed/>
    <w:qFormat/>
    <w:rsid w:val="008E73CF"/>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9"/>
    <w:unhideWhenUsed/>
    <w:qFormat/>
    <w:rsid w:val="008E73CF"/>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9"/>
    <w:unhideWhenUsed/>
    <w:qFormat/>
    <w:rsid w:val="008E73CF"/>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0Überschrift 1 Char,1Überschrift 1 Char,2Überschrift 1 Char,3Überschrift 1 Char,4Überschrift 1 Char,5Überschrift 1 Char,6Überschrift 1 Char,7Überschrift 1 Char,8Überschrift 1 Char,9Überschrift 1 Char,10Überschrift 1 Char,1 ghost Char"/>
    <w:basedOn w:val="Predvolenpsmoodseku"/>
    <w:link w:val="Nadpis1"/>
    <w:uiPriority w:val="99"/>
    <w:rsid w:val="00444105"/>
    <w:rPr>
      <w:rFonts w:ascii="Verdana" w:eastAsiaTheme="majorEastAsia" w:hAnsi="Verdana" w:cstheme="majorBidi"/>
      <w:bCs/>
      <w:sz w:val="28"/>
      <w:szCs w:val="28"/>
    </w:rPr>
  </w:style>
  <w:style w:type="character" w:customStyle="1" w:styleId="Nadpis2Char">
    <w:name w:val="Nadpis 2 Char"/>
    <w:aliases w:val="Chapter Char,1.Seite Char,Sub Heading Char,H2 Char,Heading 2rh Char,Prophead 2 Char,Major Char,Major1 Char,Major2 Char,Major11 Char,h2 Char,2 Char,Heading Two Char,RFP Heading 2 Char,Activity Char,Subsection Char,l2 Char,(1.1 Char,1.2 Char"/>
    <w:basedOn w:val="Predvolenpsmoodseku"/>
    <w:link w:val="Nadpis2"/>
    <w:rsid w:val="008E73CF"/>
    <w:rPr>
      <w:rFonts w:ascii="Verdana" w:eastAsiaTheme="majorEastAsia" w:hAnsi="Verdana" w:cstheme="majorBidi"/>
      <w:b/>
      <w:sz w:val="24"/>
      <w:szCs w:val="24"/>
    </w:rPr>
  </w:style>
  <w:style w:type="character" w:customStyle="1" w:styleId="Nadpis3Char">
    <w:name w:val="Nadpis 3 Char"/>
    <w:aliases w:val="H3 Char,3 Char,ASAPHeading 3 Char,h3 Char,sub-sub Char,sub section header Char,subsect Char,h31 Char,31 Char,h32 Char,32 Char,h33 Char,33 Char,h34 Char,34 Char,h35 Char,35 Char,sub-sub1 Char,sub-sub2 Char,sub-sub3 Char,sub-sub4 Char"/>
    <w:basedOn w:val="Predvolenpsmoodseku"/>
    <w:link w:val="Nadpis3"/>
    <w:uiPriority w:val="99"/>
    <w:rsid w:val="008E73CF"/>
    <w:rPr>
      <w:rFonts w:ascii="Verdana" w:eastAsiaTheme="majorEastAsia" w:hAnsi="Verdana" w:cstheme="majorBidi"/>
      <w:b/>
      <w:color w:val="595959" w:themeColor="text1" w:themeTint="A6"/>
      <w:sz w:val="24"/>
      <w:szCs w:val="24"/>
    </w:rPr>
  </w:style>
  <w:style w:type="character" w:customStyle="1" w:styleId="Nadpis4Char">
    <w:name w:val="Nadpis 4 Char"/>
    <w:aliases w:val="Level 2 - a Char,Bullet 1 Char,h4 Char,Sub-Minor Char,Project table Char,Propos Char,Bullet 11 Char,Bullet 12 Char,Bullet 13 Char,Bullet 14 Char,Bullet 15 Char,Bullet 16 Char,4heading Char,4 Char,(Shift Ctrl 4) Char,Titre 41 Char,H41 Char"/>
    <w:basedOn w:val="Predvolenpsmoodseku"/>
    <w:link w:val="Nadpis4"/>
    <w:uiPriority w:val="99"/>
    <w:rsid w:val="008E73CF"/>
    <w:rPr>
      <w:rFonts w:ascii="Verdana" w:eastAsiaTheme="majorEastAsia" w:hAnsi="Verdana" w:cstheme="majorBidi"/>
      <w:b/>
      <w:iCs/>
      <w:color w:val="012169"/>
      <w:sz w:val="18"/>
    </w:rPr>
  </w:style>
  <w:style w:type="character" w:customStyle="1" w:styleId="Nadpis5Char">
    <w:name w:val="Nadpis 5 Char"/>
    <w:basedOn w:val="Predvolenpsmoodseku"/>
    <w:link w:val="Nadpis5"/>
    <w:uiPriority w:val="99"/>
    <w:rsid w:val="008E73CF"/>
    <w:rPr>
      <w:rFonts w:ascii="Verdana" w:eastAsiaTheme="majorEastAsia" w:hAnsi="Verdana" w:cstheme="majorBidi"/>
      <w:color w:val="2E74B5" w:themeColor="accent1" w:themeShade="BF"/>
      <w:sz w:val="18"/>
    </w:rPr>
  </w:style>
  <w:style w:type="character" w:customStyle="1" w:styleId="Nadpis6Char">
    <w:name w:val="Nadpis 6 Char"/>
    <w:basedOn w:val="Predvolenpsmoodseku"/>
    <w:link w:val="Nadpis6"/>
    <w:uiPriority w:val="99"/>
    <w:rsid w:val="008E73CF"/>
    <w:rPr>
      <w:rFonts w:ascii="Verdana" w:eastAsiaTheme="majorEastAsia" w:hAnsi="Verdana" w:cstheme="majorBidi"/>
      <w:i/>
      <w:color w:val="1F4D78" w:themeColor="accent1" w:themeShade="7F"/>
      <w:sz w:val="18"/>
    </w:rPr>
  </w:style>
  <w:style w:type="character" w:customStyle="1" w:styleId="Nadpis7Char">
    <w:name w:val="Nadpis 7 Char"/>
    <w:basedOn w:val="Predvolenpsmoodseku"/>
    <w:link w:val="Nadpis7"/>
    <w:uiPriority w:val="99"/>
    <w:rsid w:val="008E73CF"/>
    <w:rPr>
      <w:rFonts w:asciiTheme="majorHAnsi" w:eastAsiaTheme="majorEastAsia" w:hAnsiTheme="majorHAnsi" w:cstheme="majorBidi"/>
      <w:i/>
      <w:iCs/>
      <w:color w:val="1F4D78" w:themeColor="accent1" w:themeShade="7F"/>
      <w:sz w:val="18"/>
    </w:rPr>
  </w:style>
  <w:style w:type="character" w:customStyle="1" w:styleId="Nadpis8Char">
    <w:name w:val="Nadpis 8 Char"/>
    <w:basedOn w:val="Predvolenpsmoodseku"/>
    <w:link w:val="Nadpis8"/>
    <w:uiPriority w:val="99"/>
    <w:rsid w:val="008E73CF"/>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9"/>
    <w:rsid w:val="008E73CF"/>
    <w:rPr>
      <w:rFonts w:asciiTheme="majorHAnsi" w:eastAsiaTheme="majorEastAsia" w:hAnsiTheme="majorHAnsi" w:cstheme="majorBidi"/>
      <w:i/>
      <w:iCs/>
      <w:color w:val="272727" w:themeColor="text1" w:themeTint="D8"/>
      <w:sz w:val="21"/>
      <w:szCs w:val="21"/>
    </w:rPr>
  </w:style>
  <w:style w:type="paragraph" w:styleId="Odsekzoznamu">
    <w:name w:val="List Paragraph"/>
    <w:basedOn w:val="Normlny"/>
    <w:link w:val="OdsekzoznamuChar"/>
    <w:uiPriority w:val="34"/>
    <w:qFormat/>
    <w:rsid w:val="008E73CF"/>
    <w:pPr>
      <w:numPr>
        <w:numId w:val="2"/>
      </w:numPr>
      <w:contextualSpacing/>
    </w:pPr>
  </w:style>
  <w:style w:type="table" w:styleId="Mriekatabuky">
    <w:name w:val="Table Grid"/>
    <w:basedOn w:val="Normlnatabuka"/>
    <w:uiPriority w:val="59"/>
    <w:rsid w:val="008E73C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unhideWhenUsed/>
    <w:rsid w:val="008E73CF"/>
    <w:pPr>
      <w:spacing w:after="100"/>
      <w:ind w:left="220"/>
    </w:pPr>
    <w:rPr>
      <w:rFonts w:eastAsiaTheme="minorEastAsia" w:cs="Times New Roman"/>
    </w:rPr>
  </w:style>
  <w:style w:type="paragraph" w:styleId="Obsah1">
    <w:name w:val="toc 1"/>
    <w:basedOn w:val="Normlny"/>
    <w:next w:val="Normlny"/>
    <w:autoRedefine/>
    <w:uiPriority w:val="39"/>
    <w:unhideWhenUsed/>
    <w:rsid w:val="00D64F56"/>
    <w:pPr>
      <w:tabs>
        <w:tab w:val="left" w:pos="440"/>
        <w:tab w:val="right" w:leader="dot" w:pos="9344"/>
      </w:tabs>
      <w:spacing w:after="100"/>
    </w:pPr>
    <w:rPr>
      <w:rFonts w:eastAsiaTheme="minorEastAsia" w:cs="Times New Roman"/>
      <w:noProof/>
      <w:sz w:val="20"/>
      <w:szCs w:val="20"/>
      <w14:scene3d>
        <w14:camera w14:prst="orthographicFront"/>
        <w14:lightRig w14:rig="threePt" w14:dir="t">
          <w14:rot w14:lat="0" w14:lon="0" w14:rev="0"/>
        </w14:lightRig>
      </w14:scene3d>
    </w:rPr>
  </w:style>
  <w:style w:type="character" w:styleId="Hypertextovprepojenie">
    <w:name w:val="Hyperlink"/>
    <w:basedOn w:val="Predvolenpsmoodseku"/>
    <w:uiPriority w:val="99"/>
    <w:unhideWhenUsed/>
    <w:rsid w:val="008E73CF"/>
    <w:rPr>
      <w:color w:val="0563C1" w:themeColor="hyperlink"/>
      <w:u w:val="single"/>
    </w:rPr>
  </w:style>
  <w:style w:type="paragraph" w:styleId="Hlavika">
    <w:name w:val="header"/>
    <w:aliases w:val="h,SJ Head1,ContentsHeader"/>
    <w:basedOn w:val="Normlny"/>
    <w:link w:val="HlavikaChar"/>
    <w:uiPriority w:val="99"/>
    <w:unhideWhenUsed/>
    <w:rsid w:val="008E73CF"/>
    <w:pPr>
      <w:tabs>
        <w:tab w:val="center" w:pos="4680"/>
        <w:tab w:val="right" w:pos="9360"/>
      </w:tabs>
    </w:pPr>
  </w:style>
  <w:style w:type="character" w:customStyle="1" w:styleId="HlavikaChar">
    <w:name w:val="Hlavička Char"/>
    <w:aliases w:val="h Char,SJ Head1 Char,ContentsHeader Char"/>
    <w:basedOn w:val="Predvolenpsmoodseku"/>
    <w:link w:val="Hlavika"/>
    <w:uiPriority w:val="99"/>
    <w:rsid w:val="008E73CF"/>
    <w:rPr>
      <w:rFonts w:ascii="Verdana" w:hAnsi="Verdana"/>
      <w:sz w:val="18"/>
    </w:rPr>
  </w:style>
  <w:style w:type="paragraph" w:styleId="Pta">
    <w:name w:val="footer"/>
    <w:basedOn w:val="Normlny"/>
    <w:link w:val="PtaChar"/>
    <w:uiPriority w:val="99"/>
    <w:unhideWhenUsed/>
    <w:rsid w:val="008E73CF"/>
    <w:pPr>
      <w:tabs>
        <w:tab w:val="center" w:pos="4680"/>
        <w:tab w:val="right" w:pos="9360"/>
      </w:tabs>
    </w:pPr>
  </w:style>
  <w:style w:type="character" w:customStyle="1" w:styleId="PtaChar">
    <w:name w:val="Päta Char"/>
    <w:basedOn w:val="Predvolenpsmoodseku"/>
    <w:link w:val="Pta"/>
    <w:uiPriority w:val="99"/>
    <w:rsid w:val="008E73CF"/>
    <w:rPr>
      <w:rFonts w:ascii="Verdana" w:hAnsi="Verdana"/>
      <w:sz w:val="18"/>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Char4,Car,Cha"/>
    <w:basedOn w:val="Normlny"/>
    <w:link w:val="TextpoznmkypodiarouChar"/>
    <w:qFormat/>
    <w:rsid w:val="008E73CF"/>
    <w:pPr>
      <w:keepLines/>
      <w:suppressAutoHyphens/>
      <w:spacing w:before="120"/>
      <w:ind w:left="113"/>
    </w:pPr>
    <w:rPr>
      <w:rFonts w:ascii="Arial" w:eastAsia="Times New Roman" w:hAnsi="Arial" w:cs="Times New Roman"/>
      <w:sz w:val="20"/>
      <w:szCs w:val="20"/>
      <w:lang w:eastAsia="sk-SK"/>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rsid w:val="008E73CF"/>
    <w:rPr>
      <w:rFonts w:ascii="Arial" w:eastAsia="Times New Roman" w:hAnsi="Arial" w:cs="Times New Roman"/>
      <w:sz w:val="20"/>
      <w:szCs w:val="20"/>
      <w:lang w:eastAsia="sk-SK"/>
    </w:rPr>
  </w:style>
  <w:style w:type="character" w:styleId="Odkaznapoznmkupodiarou">
    <w:name w:val="footnote reference"/>
    <w:aliases w:val="Footnote symbol,Footnote,PGI Fußnote Ziffer,Footnote reference number,Times 10 Point,Exposant 3 Point,Ref,de nota al pie,note TESI,SUPERS,EN Footnote text,EN Footnote Reference,Voetnootverwijzing,Footnote number,fr,o,FR,FR1"/>
    <w:link w:val="Char2"/>
    <w:rsid w:val="008E73CF"/>
    <w:rPr>
      <w:vertAlign w:val="superscript"/>
    </w:rPr>
  </w:style>
  <w:style w:type="character" w:customStyle="1" w:styleId="OdsekzoznamuChar">
    <w:name w:val="Odsek zoznamu Char"/>
    <w:basedOn w:val="Predvolenpsmoodseku"/>
    <w:link w:val="Odsekzoznamu"/>
    <w:uiPriority w:val="34"/>
    <w:locked/>
    <w:rsid w:val="008E73CF"/>
    <w:rPr>
      <w:rFonts w:ascii="Verdana" w:hAnsi="Verdana"/>
      <w:sz w:val="18"/>
    </w:rPr>
  </w:style>
  <w:style w:type="paragraph" w:customStyle="1" w:styleId="Sectiontitle">
    <w:name w:val="Section title"/>
    <w:basedOn w:val="Normlny"/>
    <w:next w:val="Normlny"/>
    <w:autoRedefine/>
    <w:qFormat/>
    <w:rsid w:val="008E73CF"/>
    <w:pPr>
      <w:spacing w:after="480" w:line="720" w:lineRule="atLeast"/>
      <w:jc w:val="left"/>
      <w:outlineLvl w:val="0"/>
    </w:pPr>
    <w:rPr>
      <w:sz w:val="36"/>
      <w:szCs w:val="36"/>
    </w:rPr>
  </w:style>
  <w:style w:type="paragraph" w:customStyle="1" w:styleId="Char2">
    <w:name w:val="Char2"/>
    <w:basedOn w:val="Normlny"/>
    <w:link w:val="Odkaznapoznmkupodiarou"/>
    <w:rsid w:val="008E73CF"/>
    <w:pPr>
      <w:spacing w:after="160" w:line="240" w:lineRule="exact"/>
      <w:jc w:val="left"/>
    </w:pPr>
    <w:rPr>
      <w:rFonts w:asciiTheme="minorHAnsi" w:hAnsiTheme="minorHAnsi"/>
      <w:sz w:val="22"/>
      <w:vertAlign w:val="superscript"/>
    </w:rPr>
  </w:style>
  <w:style w:type="character" w:styleId="Odkaznakomentr">
    <w:name w:val="annotation reference"/>
    <w:basedOn w:val="Predvolenpsmoodseku"/>
    <w:uiPriority w:val="99"/>
    <w:semiHidden/>
    <w:unhideWhenUsed/>
    <w:rsid w:val="00435025"/>
    <w:rPr>
      <w:sz w:val="16"/>
      <w:szCs w:val="16"/>
    </w:rPr>
  </w:style>
  <w:style w:type="paragraph" w:styleId="Textkomentra">
    <w:name w:val="annotation text"/>
    <w:basedOn w:val="Normlny"/>
    <w:link w:val="TextkomentraChar"/>
    <w:uiPriority w:val="99"/>
    <w:unhideWhenUsed/>
    <w:rsid w:val="00435025"/>
    <w:pPr>
      <w:spacing w:line="240" w:lineRule="auto"/>
    </w:pPr>
    <w:rPr>
      <w:sz w:val="20"/>
      <w:szCs w:val="20"/>
    </w:rPr>
  </w:style>
  <w:style w:type="character" w:customStyle="1" w:styleId="TextkomentraChar">
    <w:name w:val="Text komentára Char"/>
    <w:basedOn w:val="Predvolenpsmoodseku"/>
    <w:link w:val="Textkomentra"/>
    <w:uiPriority w:val="99"/>
    <w:rsid w:val="00435025"/>
    <w:rPr>
      <w:rFonts w:ascii="Verdana" w:hAnsi="Verdana"/>
      <w:sz w:val="20"/>
      <w:szCs w:val="20"/>
    </w:rPr>
  </w:style>
  <w:style w:type="paragraph" w:styleId="Predmetkomentra">
    <w:name w:val="annotation subject"/>
    <w:basedOn w:val="Textkomentra"/>
    <w:next w:val="Textkomentra"/>
    <w:link w:val="PredmetkomentraChar"/>
    <w:uiPriority w:val="99"/>
    <w:semiHidden/>
    <w:unhideWhenUsed/>
    <w:rsid w:val="00435025"/>
    <w:rPr>
      <w:b/>
      <w:bCs/>
    </w:rPr>
  </w:style>
  <w:style w:type="character" w:customStyle="1" w:styleId="PredmetkomentraChar">
    <w:name w:val="Predmet komentára Char"/>
    <w:basedOn w:val="TextkomentraChar"/>
    <w:link w:val="Predmetkomentra"/>
    <w:uiPriority w:val="99"/>
    <w:semiHidden/>
    <w:rsid w:val="00435025"/>
    <w:rPr>
      <w:rFonts w:ascii="Verdana" w:hAnsi="Verdana"/>
      <w:b/>
      <w:bCs/>
      <w:sz w:val="20"/>
      <w:szCs w:val="20"/>
    </w:rPr>
  </w:style>
  <w:style w:type="paragraph" w:styleId="Textbubliny">
    <w:name w:val="Balloon Text"/>
    <w:basedOn w:val="Normlny"/>
    <w:link w:val="TextbublinyChar"/>
    <w:uiPriority w:val="99"/>
    <w:semiHidden/>
    <w:unhideWhenUsed/>
    <w:rsid w:val="00435025"/>
    <w:pPr>
      <w:spacing w:after="0" w:line="240" w:lineRule="auto"/>
    </w:pPr>
    <w:rPr>
      <w:rFonts w:ascii="Segoe UI" w:hAnsi="Segoe UI" w:cs="Segoe UI"/>
      <w:szCs w:val="18"/>
    </w:rPr>
  </w:style>
  <w:style w:type="character" w:customStyle="1" w:styleId="TextbublinyChar">
    <w:name w:val="Text bubliny Char"/>
    <w:basedOn w:val="Predvolenpsmoodseku"/>
    <w:link w:val="Textbubliny"/>
    <w:uiPriority w:val="99"/>
    <w:semiHidden/>
    <w:rsid w:val="00435025"/>
    <w:rPr>
      <w:rFonts w:ascii="Segoe UI" w:hAnsi="Segoe UI" w:cs="Segoe UI"/>
      <w:sz w:val="18"/>
      <w:szCs w:val="18"/>
    </w:rPr>
  </w:style>
  <w:style w:type="table" w:customStyle="1" w:styleId="Mriekatabuky1">
    <w:name w:val="Mriežka tabuľky1"/>
    <w:basedOn w:val="Normlnatabuka"/>
    <w:next w:val="Mriekatabuky"/>
    <w:uiPriority w:val="39"/>
    <w:rsid w:val="004E5A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vraznenodkaz">
    <w:name w:val="Intense Reference"/>
    <w:basedOn w:val="Predvolenpsmoodseku"/>
    <w:uiPriority w:val="32"/>
    <w:qFormat/>
    <w:rsid w:val="009E255F"/>
    <w:rPr>
      <w:b/>
      <w:bCs/>
      <w:smallCaps/>
      <w:color w:val="5B9BD5" w:themeColor="accent1"/>
      <w:spacing w:val="5"/>
    </w:rPr>
  </w:style>
  <w:style w:type="character" w:styleId="PouitHypertextovPrepojenie">
    <w:name w:val="FollowedHyperlink"/>
    <w:basedOn w:val="Predvolenpsmoodseku"/>
    <w:uiPriority w:val="99"/>
    <w:semiHidden/>
    <w:unhideWhenUsed/>
    <w:rsid w:val="002A32D0"/>
    <w:rPr>
      <w:color w:val="954F72" w:themeColor="followedHyperlink"/>
      <w:u w:val="single"/>
    </w:rPr>
  </w:style>
  <w:style w:type="paragraph" w:styleId="Zkladntext">
    <w:name w:val="Body Text"/>
    <w:basedOn w:val="Normlny"/>
    <w:link w:val="ZkladntextChar"/>
    <w:semiHidden/>
    <w:unhideWhenUsed/>
    <w:rsid w:val="00FD5218"/>
    <w:pPr>
      <w:spacing w:line="240" w:lineRule="auto"/>
      <w:jc w:val="left"/>
    </w:pPr>
    <w:rPr>
      <w:rFonts w:ascii="Arial" w:eastAsia="Times New Roman" w:hAnsi="Arial" w:cs="Times New Roman"/>
      <w:sz w:val="19"/>
      <w:szCs w:val="24"/>
      <w:lang w:val="en-US"/>
    </w:rPr>
  </w:style>
  <w:style w:type="character" w:customStyle="1" w:styleId="ZkladntextChar">
    <w:name w:val="Základný text Char"/>
    <w:basedOn w:val="Predvolenpsmoodseku"/>
    <w:link w:val="Zkladntext"/>
    <w:semiHidden/>
    <w:rsid w:val="00FD5218"/>
    <w:rPr>
      <w:rFonts w:ascii="Arial" w:eastAsia="Times New Roman" w:hAnsi="Arial" w:cs="Times New Roman"/>
      <w:sz w:val="19"/>
      <w:szCs w:val="24"/>
      <w:lang w:val="en-US"/>
    </w:rPr>
  </w:style>
  <w:style w:type="paragraph" w:styleId="Revzia">
    <w:name w:val="Revision"/>
    <w:hidden/>
    <w:uiPriority w:val="99"/>
    <w:semiHidden/>
    <w:rsid w:val="00A212E2"/>
    <w:pPr>
      <w:spacing w:after="0" w:line="240" w:lineRule="auto"/>
    </w:pPr>
    <w:rPr>
      <w:rFonts w:ascii="Verdana" w:hAnsi="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133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EN/TXT/?uri=OJ%3AC%3A2016%3A262%3ATO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78c33f-4cdf-45e9-8456-26a6a71e2dae">
      <Terms xmlns="http://schemas.microsoft.com/office/infopath/2007/PartnerControls"/>
    </lcf76f155ced4ddcb4097134ff3c332f>
    <TaxCatchAll xmlns="aa073712-a3e1-4887-af8b-7882991bf6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AD2FE1BA0F1F4BBBC1294D52F2440D" ma:contentTypeVersion="16" ma:contentTypeDescription="Create a new document." ma:contentTypeScope="" ma:versionID="5824c3036447e41fb536678be68ba48b">
  <xsd:schema xmlns:xsd="http://www.w3.org/2001/XMLSchema" xmlns:xs="http://www.w3.org/2001/XMLSchema" xmlns:p="http://schemas.microsoft.com/office/2006/metadata/properties" xmlns:ns2="9e78c33f-4cdf-45e9-8456-26a6a71e2dae" xmlns:ns3="aa073712-a3e1-4887-af8b-7882991bf644" targetNamespace="http://schemas.microsoft.com/office/2006/metadata/properties" ma:root="true" ma:fieldsID="6e4f4214fbeaa8031aeb951ca793f7f0" ns2:_="" ns3:_="">
    <xsd:import namespace="9e78c33f-4cdf-45e9-8456-26a6a71e2dae"/>
    <xsd:import namespace="aa073712-a3e1-4887-af8b-7882991bf64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78c33f-4cdf-45e9-8456-26a6a71e2d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23deb3c-b9f3-4fad-b534-fe0741e7144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073712-a3e1-4887-af8b-7882991bf6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4b90ddb-35b0-422b-ac1c-df2d6618d02f}" ma:internalName="TaxCatchAll" ma:showField="CatchAllData" ma:web="aa073712-a3e1-4887-af8b-7882991bf6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64A44D-928A-45A2-A226-566A98309356}">
  <ds:schemaRefs>
    <ds:schemaRef ds:uri="http://schemas.openxmlformats.org/officeDocument/2006/bibliography"/>
  </ds:schemaRefs>
</ds:datastoreItem>
</file>

<file path=customXml/itemProps2.xml><?xml version="1.0" encoding="utf-8"?>
<ds:datastoreItem xmlns:ds="http://schemas.openxmlformats.org/officeDocument/2006/customXml" ds:itemID="{F30BA464-4BAE-4D9A-97FE-DEDDE4083CC4}">
  <ds:schemaRefs>
    <ds:schemaRef ds:uri="http://www.w3.org/XML/1998/namespace"/>
    <ds:schemaRef ds:uri="http://purl.org/dc/dcmitype/"/>
    <ds:schemaRef ds:uri="9e78c33f-4cdf-45e9-8456-26a6a71e2da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aa073712-a3e1-4887-af8b-7882991bf644"/>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05D47478-E7A5-4D73-83EA-8B714D3F7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78c33f-4cdf-45e9-8456-26a6a71e2dae"/>
    <ds:schemaRef ds:uri="aa073712-a3e1-4887-af8b-7882991bf6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E6DD3-066B-4D9E-8C98-1248D59313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7</Pages>
  <Words>2229</Words>
  <Characters>12707</Characters>
  <Application>Microsoft Office Word</Application>
  <DocSecurity>0</DocSecurity>
  <Lines>105</Lines>
  <Paragraphs>29</Paragraphs>
  <ScaleCrop>false</ScaleCrop>
  <HeadingPairs>
    <vt:vector size="2" baseType="variant">
      <vt:variant>
        <vt:lpstr>Názov</vt:lpstr>
      </vt:variant>
      <vt:variant>
        <vt:i4>1</vt:i4>
      </vt:variant>
    </vt:vector>
  </HeadingPairs>
  <TitlesOfParts>
    <vt:vector size="1" baseType="lpstr">
      <vt:lpstr/>
    </vt:vector>
  </TitlesOfParts>
  <Company>MIRRI</Company>
  <LinksUpToDate>false</LinksUpToDate>
  <CharactersWithSpaces>14907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OM1</dc:creator>
  <cp:keywords/>
  <dc:description/>
  <cp:lastModifiedBy>Korec Róbert</cp:lastModifiedBy>
  <cp:revision>54</cp:revision>
  <cp:lastPrinted>2024-07-29T14:44:00Z</cp:lastPrinted>
  <dcterms:created xsi:type="dcterms:W3CDTF">2022-10-20T10:11:00Z</dcterms:created>
  <dcterms:modified xsi:type="dcterms:W3CDTF">2024-09-13T12:33:00Z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0x01010077AD2FE1BA0F1F4BBBC1294D52F2440D</vt:lpwstr>
  </property>
  <property fmtid="{D5CDD505-2E9C-101B-9397-08002B2CF9AE}" pid="3" name="MediaServiceImageTags">
    <vt:lpwstr/>
  </property>
</Properties>
</file>